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A3083" w14:textId="7EDFDA02" w:rsidR="00850F1B" w:rsidRPr="00850F1B" w:rsidRDefault="00E04448" w:rsidP="00D345A0">
      <w:pPr>
        <w:keepNext/>
        <w:tabs>
          <w:tab w:val="left" w:pos="8505"/>
        </w:tabs>
        <w:spacing w:after="0"/>
        <w:ind w:right="-754"/>
        <w:outlineLvl w:val="7"/>
        <w:rPr>
          <w:rFonts w:cs="Times New Roman"/>
          <w:b/>
          <w:bCs/>
          <w:lang w:val="fr"/>
        </w:rPr>
      </w:pPr>
      <w:bookmarkStart w:id="0" w:name="OLE_LINK1"/>
      <w:bookmarkStart w:id="1" w:name="OLE_LINK2"/>
      <w:r>
        <w:rPr>
          <w:rFonts w:cs="Times New Roman"/>
          <w:b/>
          <w:bCs/>
          <w:lang w:val="fr"/>
        </w:rPr>
        <w:br/>
      </w:r>
      <w:bookmarkStart w:id="2" w:name="_GoBack"/>
      <w:bookmarkEnd w:id="2"/>
      <w:r w:rsidR="00850F1B" w:rsidRPr="00850F1B">
        <w:rPr>
          <w:rFonts w:cs="Times New Roman"/>
          <w:b/>
          <w:bCs/>
          <w:lang w:val="fr"/>
        </w:rPr>
        <w:t xml:space="preserve">TREIZIÈME RÉUNION DES MINISTRES </w:t>
      </w:r>
    </w:p>
    <w:p w14:paraId="70A3ED3A" w14:textId="726FB038" w:rsidR="00850F1B" w:rsidRPr="00850F1B" w:rsidRDefault="00850F1B" w:rsidP="00D345A0">
      <w:pPr>
        <w:tabs>
          <w:tab w:val="left" w:pos="8505"/>
        </w:tabs>
        <w:spacing w:after="0"/>
        <w:ind w:right="-754"/>
        <w:rPr>
          <w:rFonts w:eastAsia="Malgun Gothic" w:cs="Times New Roman"/>
          <w:b/>
          <w:lang w:val="fr-FR"/>
        </w:rPr>
      </w:pPr>
      <w:r w:rsidRPr="00850F1B">
        <w:rPr>
          <w:rFonts w:cs="Times New Roman"/>
          <w:b/>
          <w:bCs/>
          <w:lang w:val="fr"/>
        </w:rPr>
        <w:t xml:space="preserve">DE LA SANTÉ DES PAYS OCÉANIENS                   </w:t>
      </w:r>
      <w:r w:rsidR="001D513D">
        <w:rPr>
          <w:rFonts w:cs="Times New Roman"/>
          <w:b/>
          <w:bCs/>
          <w:lang w:val="fr"/>
        </w:rPr>
        <w:t xml:space="preserve">                        PIC13/S4/2</w:t>
      </w:r>
    </w:p>
    <w:p w14:paraId="70BC55E7" w14:textId="77777777" w:rsidR="00850F1B" w:rsidRPr="00850F1B" w:rsidRDefault="00850F1B" w:rsidP="00D345A0">
      <w:pPr>
        <w:keepNext/>
        <w:tabs>
          <w:tab w:val="left" w:pos="8505"/>
        </w:tabs>
        <w:spacing w:after="0"/>
        <w:ind w:right="-754"/>
        <w:outlineLvl w:val="7"/>
        <w:rPr>
          <w:rFonts w:eastAsia="Malgun Gothic" w:cs="Times New Roman"/>
          <w:b/>
          <w:bCs/>
          <w:lang w:val="fr-FR"/>
        </w:rPr>
      </w:pPr>
      <w:r w:rsidRPr="00850F1B">
        <w:rPr>
          <w:rFonts w:eastAsia="Malgun Gothic" w:cs="Times New Roman"/>
          <w:b/>
          <w:bCs/>
          <w:lang w:val="fr"/>
        </w:rPr>
        <w:t>Papeete (Polynésie française)                                                                 11 juin 2019</w:t>
      </w:r>
    </w:p>
    <w:p w14:paraId="2E9EC664" w14:textId="34AFA3DE" w:rsidR="00560443" w:rsidRPr="001D513D" w:rsidRDefault="00850F1B" w:rsidP="001D513D">
      <w:pPr>
        <w:tabs>
          <w:tab w:val="left" w:pos="6300"/>
        </w:tabs>
        <w:spacing w:after="0"/>
        <w:rPr>
          <w:rFonts w:eastAsia="Malgun Gothic" w:cs="Times New Roman"/>
          <w:b/>
          <w:lang w:val="fr-FR"/>
        </w:rPr>
      </w:pPr>
      <w:r w:rsidRPr="00850F1B">
        <w:rPr>
          <w:rFonts w:eastAsia="Malgun Gothic" w:cs="Times New Roman"/>
          <w:b/>
          <w:bCs/>
          <w:lang w:val="fr"/>
        </w:rPr>
        <w:t>6–8 août 2019</w:t>
      </w:r>
      <w:r w:rsidRPr="00850F1B">
        <w:rPr>
          <w:rFonts w:eastAsia="Malgun Gothic" w:cs="Times New Roman"/>
          <w:lang w:val="fr"/>
        </w:rPr>
        <w:tab/>
      </w:r>
      <w:r w:rsidRPr="00850F1B">
        <w:rPr>
          <w:rFonts w:eastAsia="Malgun Gothic" w:cs="Times New Roman"/>
          <w:b/>
          <w:bCs/>
          <w:lang w:val="fr"/>
        </w:rPr>
        <w:t>ORIGINAL : ANGLAIS</w:t>
      </w:r>
      <w:r w:rsidR="00091380" w:rsidRPr="00850F1B">
        <w:rPr>
          <w:noProof/>
          <w:lang w:val="fr-FR" w:eastAsia="en-GB"/>
        </w:rPr>
        <w:t xml:space="preserve"> </w:t>
      </w:r>
    </w:p>
    <w:p w14:paraId="039C98FA" w14:textId="0C82F5BD" w:rsidR="004B614E" w:rsidRPr="00A02BD5" w:rsidRDefault="00662E9B" w:rsidP="00D345A0">
      <w:pPr>
        <w:pStyle w:val="Heading1"/>
        <w:rPr>
          <w:lang w:val="fr-FR"/>
        </w:rPr>
      </w:pPr>
      <w:r w:rsidRPr="00A02BD5">
        <w:rPr>
          <w:lang w:val="fr-FR"/>
        </w:rPr>
        <w:t>ÉTUDES D'IMPACT DES MESURES FISCALES EN OCÉANIE : GROS PLAN SUR LE TABAC, L'ALCOOL, LES BOISSONS AVEC SUCRE AJOUTÉ, LES PRODUITS NON ESSENTIELS ET AUTRES ALIMENTS</w:t>
      </w:r>
    </w:p>
    <w:p w14:paraId="1A19A4D0" w14:textId="77777777" w:rsidR="00662E9B" w:rsidRDefault="00662E9B" w:rsidP="00D345A0">
      <w:pPr>
        <w:pStyle w:val="boxedsummary"/>
        <w:ind w:left="360" w:firstLine="540"/>
        <w:rPr>
          <w:szCs w:val="22"/>
          <w:lang w:val="fr-FR"/>
        </w:rPr>
      </w:pPr>
      <w:r w:rsidRPr="00A02BD5">
        <w:rPr>
          <w:szCs w:val="22"/>
          <w:lang w:val="fr-FR"/>
        </w:rPr>
        <w:t xml:space="preserve">Il a été démontré que les mesures financières et fiscales impactent la consommation de divers produits au plan mondial. Il est essentiel d'évaluer ces impacts lorsque de telles approches sont appliquées afin d'établir une base de données, particulièrement à l'échelle locale. </w:t>
      </w:r>
    </w:p>
    <w:p w14:paraId="45CD70E8" w14:textId="09AE15AC" w:rsidR="0054107F" w:rsidRPr="00A02BD5" w:rsidRDefault="00662E9B" w:rsidP="00D345A0">
      <w:pPr>
        <w:pStyle w:val="boxedsummary"/>
        <w:ind w:left="360" w:firstLine="540"/>
        <w:rPr>
          <w:szCs w:val="22"/>
          <w:lang w:val="fr-FR"/>
        </w:rPr>
      </w:pPr>
      <w:r w:rsidRPr="00662E9B">
        <w:rPr>
          <w:szCs w:val="22"/>
          <w:lang w:val="fr-FR"/>
        </w:rPr>
        <w:t>Au cours</w:t>
      </w:r>
      <w:r w:rsidRPr="005B191B">
        <w:rPr>
          <w:szCs w:val="22"/>
          <w:lang w:val="fr-FR"/>
        </w:rPr>
        <w:t xml:space="preserve"> des </w:t>
      </w:r>
      <w:r w:rsidRPr="005823A8">
        <w:rPr>
          <w:spacing w:val="-19"/>
          <w:szCs w:val="22"/>
          <w:lang w:val="fr-FR"/>
        </w:rPr>
        <w:t>cinq</w:t>
      </w:r>
      <w:r w:rsidRPr="00662E9B">
        <w:rPr>
          <w:szCs w:val="22"/>
          <w:lang w:val="fr-FR"/>
        </w:rPr>
        <w:t xml:space="preserve"> années écoulées, plusieurs </w:t>
      </w:r>
      <w:r w:rsidR="00A05867">
        <w:rPr>
          <w:szCs w:val="22"/>
          <w:lang w:val="fr-FR"/>
        </w:rPr>
        <w:t>États et Territoires insulaires du Pacifique</w:t>
      </w:r>
      <w:r w:rsidRPr="00662E9B">
        <w:rPr>
          <w:szCs w:val="22"/>
          <w:lang w:val="fr-FR"/>
        </w:rPr>
        <w:t xml:space="preserve"> ont mis en place des évaluations d'impact sur divers produits liés aux maladies non transmissibles (MNT) telles que le tabac, l'alcool, les boissons avec sucre ajouté et autres produits non essentiels, et les fruits et légumes. Nombre de ces études montrent qu'une </w:t>
      </w:r>
      <w:proofErr w:type="gramStart"/>
      <w:r w:rsidRPr="00662E9B">
        <w:rPr>
          <w:szCs w:val="22"/>
          <w:lang w:val="fr-FR"/>
        </w:rPr>
        <w:t>augmentation</w:t>
      </w:r>
      <w:proofErr w:type="gramEnd"/>
      <w:r w:rsidRPr="00662E9B">
        <w:rPr>
          <w:szCs w:val="22"/>
          <w:lang w:val="fr-FR"/>
        </w:rPr>
        <w:t xml:space="preserve"> des taxes donne lieu à une augmentation des prix sur les points de vente, une augmentation des recettes perçues par le gouvernement et une réduction des quantités importées. De la même façon, certaines études ont estimé que la baisse des taxes donne lieu à une réduction des prix des produits et à une augmentation de la consommation. </w:t>
      </w:r>
      <w:r w:rsidR="008E71E0" w:rsidRPr="00A02BD5">
        <w:rPr>
          <w:szCs w:val="22"/>
          <w:lang w:val="fr-FR"/>
        </w:rPr>
        <w:t xml:space="preserve">  </w:t>
      </w:r>
    </w:p>
    <w:p w14:paraId="75714AF8" w14:textId="2FAC606D" w:rsidR="00A86728" w:rsidRPr="00A02BD5" w:rsidRDefault="00662E9B" w:rsidP="00D345A0">
      <w:pPr>
        <w:pStyle w:val="boxedsummary"/>
        <w:ind w:left="360" w:firstLine="540"/>
        <w:rPr>
          <w:szCs w:val="22"/>
          <w:lang w:val="fr-FR"/>
        </w:rPr>
      </w:pPr>
      <w:r w:rsidRPr="00A02BD5">
        <w:rPr>
          <w:szCs w:val="22"/>
          <w:lang w:val="fr-FR"/>
        </w:rPr>
        <w:t>Les ministres de la santé sont invités à envisager les points suivants: i) une planification proactive pour l'évaluation des impacts des mesures fiscales sur la consommation et pour une meilleure disponibi</w:t>
      </w:r>
      <w:r w:rsidR="00CE1BE4">
        <w:rPr>
          <w:szCs w:val="22"/>
          <w:lang w:val="fr-FR"/>
        </w:rPr>
        <w:t xml:space="preserve">lité des données nécessaires ; </w:t>
      </w:r>
      <w:r w:rsidRPr="00A02BD5">
        <w:rPr>
          <w:szCs w:val="22"/>
          <w:lang w:val="fr-FR"/>
        </w:rPr>
        <w:t>ii) un recours à des actions dans le domaine fiscal qui ne sapent pas les efforts entrepris et à des approches qui encouragent le changeme</w:t>
      </w:r>
      <w:r w:rsidR="00CE1BE4">
        <w:rPr>
          <w:szCs w:val="22"/>
          <w:lang w:val="fr-FR"/>
        </w:rPr>
        <w:t xml:space="preserve">nt dans les comportements ; et </w:t>
      </w:r>
      <w:r w:rsidRPr="00A02BD5">
        <w:rPr>
          <w:szCs w:val="22"/>
          <w:lang w:val="fr-FR"/>
        </w:rPr>
        <w:t>iii) l'assurance que les taxes sur l'alcool et le tabac ne sont pas incluses dans les accords commerciaux.</w:t>
      </w:r>
      <w:r w:rsidR="008749A5" w:rsidRPr="00A02BD5">
        <w:rPr>
          <w:szCs w:val="22"/>
          <w:lang w:val="fr-FR"/>
        </w:rPr>
        <w:t xml:space="preserve"> </w:t>
      </w:r>
    </w:p>
    <w:bookmarkEnd w:id="0"/>
    <w:bookmarkEnd w:id="1"/>
    <w:p w14:paraId="1656125E" w14:textId="77777777" w:rsidR="00247DFF" w:rsidRPr="00A02BD5" w:rsidRDefault="00247DFF" w:rsidP="00D345A0">
      <w:pPr>
        <w:spacing w:after="120"/>
        <w:rPr>
          <w:rFonts w:eastAsia="Malgun Gothic" w:cs="Times New Roman"/>
          <w:b/>
          <w:bCs/>
          <w:lang w:val="fr-FR" w:eastAsia="ko-KR"/>
        </w:rPr>
      </w:pPr>
      <w:r w:rsidRPr="00A02BD5">
        <w:rPr>
          <w:rFonts w:eastAsia="Malgun Gothic" w:cs="Times New Roman"/>
          <w:b/>
          <w:bCs/>
          <w:lang w:val="fr-FR" w:eastAsia="ko-KR"/>
        </w:rPr>
        <w:br w:type="page"/>
      </w:r>
    </w:p>
    <w:p w14:paraId="7F0B66CD" w14:textId="4D7966C0" w:rsidR="009E0188" w:rsidRPr="00A02BD5" w:rsidRDefault="00BD60F7" w:rsidP="00D345A0">
      <w:pPr>
        <w:pStyle w:val="Heading1"/>
        <w:rPr>
          <w:lang w:val="fr-FR"/>
        </w:rPr>
      </w:pPr>
      <w:r w:rsidRPr="001D513D">
        <w:rPr>
          <w:rFonts w:eastAsia="Malgun Gothic"/>
          <w:lang w:val="fr-FR" w:eastAsia="ko-KR"/>
        </w:rPr>
        <w:lastRenderedPageBreak/>
        <w:t xml:space="preserve">1. </w:t>
      </w:r>
      <w:r w:rsidR="007608DB" w:rsidRPr="001D513D">
        <w:rPr>
          <w:rFonts w:eastAsia="Malgun Gothic"/>
          <w:lang w:val="fr-FR" w:eastAsia="ko-KR"/>
        </w:rPr>
        <w:t xml:space="preserve"> </w:t>
      </w:r>
      <w:r w:rsidR="00662E9B" w:rsidRPr="00A02BD5">
        <w:rPr>
          <w:lang w:val="fr-FR"/>
        </w:rPr>
        <w:t>CONTEXTE</w:t>
      </w:r>
    </w:p>
    <w:p w14:paraId="5306F50C" w14:textId="2D008CAA" w:rsidR="00662E9B" w:rsidRPr="00A02BD5" w:rsidRDefault="00662E9B" w:rsidP="00D345A0">
      <w:pPr>
        <w:pStyle w:val="Heading1"/>
        <w:jc w:val="both"/>
        <w:rPr>
          <w:rFonts w:eastAsiaTheme="minorEastAsia" w:cstheme="minorBidi"/>
          <w:b w:val="0"/>
          <w:bCs w:val="0"/>
          <w:caps w:val="0"/>
          <w:color w:val="auto"/>
          <w:szCs w:val="22"/>
          <w:lang w:val="fr-FR"/>
        </w:rPr>
      </w:pPr>
      <w:r w:rsidRPr="00A02BD5">
        <w:rPr>
          <w:rFonts w:eastAsiaTheme="minorEastAsia" w:cstheme="minorBidi"/>
          <w:b w:val="0"/>
          <w:bCs w:val="0"/>
          <w:caps w:val="0"/>
          <w:color w:val="auto"/>
          <w:szCs w:val="22"/>
          <w:lang w:val="fr-FR"/>
        </w:rPr>
        <w:t>Il a été démontré que les mesures financières et fiscales impactent la consommation de divers produits. Les politiques fiscales qui encouragent les choix sains et découragent les choix nocifs pour la santé so</w:t>
      </w:r>
      <w:r w:rsidR="00AE1F35">
        <w:rPr>
          <w:rFonts w:eastAsiaTheme="minorEastAsia" w:cstheme="minorBidi"/>
          <w:b w:val="0"/>
          <w:bCs w:val="0"/>
          <w:caps w:val="0"/>
          <w:color w:val="auto"/>
          <w:szCs w:val="22"/>
          <w:lang w:val="fr-FR"/>
        </w:rPr>
        <w:t xml:space="preserve">nt au </w:t>
      </w:r>
      <w:proofErr w:type="spellStart"/>
      <w:r w:rsidR="00AE1F35">
        <w:rPr>
          <w:rFonts w:eastAsiaTheme="minorEastAsia" w:cstheme="minorBidi"/>
          <w:b w:val="0"/>
          <w:bCs w:val="0"/>
          <w:caps w:val="0"/>
          <w:color w:val="auto"/>
          <w:szCs w:val="22"/>
          <w:lang w:val="fr-FR"/>
        </w:rPr>
        <w:t>coeur</w:t>
      </w:r>
      <w:proofErr w:type="spellEnd"/>
      <w:r w:rsidR="00AE1F35">
        <w:rPr>
          <w:rFonts w:eastAsiaTheme="minorEastAsia" w:cstheme="minorBidi"/>
          <w:b w:val="0"/>
          <w:bCs w:val="0"/>
          <w:caps w:val="0"/>
          <w:color w:val="auto"/>
          <w:szCs w:val="22"/>
          <w:lang w:val="fr-FR"/>
        </w:rPr>
        <w:t xml:space="preserve"> des interventions </w:t>
      </w:r>
      <w:hyperlink r:id="rId9" w:history="1">
        <w:proofErr w:type="spellStart"/>
        <w:r w:rsidRPr="00AE1F35">
          <w:rPr>
            <w:rStyle w:val="Hyperlink"/>
            <w:rFonts w:eastAsiaTheme="minorEastAsia" w:cstheme="minorBidi"/>
            <w:b w:val="0"/>
            <w:bCs w:val="0"/>
            <w:caps w:val="0"/>
            <w:szCs w:val="22"/>
            <w:lang w:val="fr-FR"/>
          </w:rPr>
          <w:t>Bes</w:t>
        </w:r>
        <w:r w:rsidR="00AE1F35" w:rsidRPr="00AE1F35">
          <w:rPr>
            <w:rStyle w:val="Hyperlink"/>
            <w:rFonts w:eastAsiaTheme="minorEastAsia" w:cstheme="minorBidi"/>
            <w:b w:val="0"/>
            <w:bCs w:val="0"/>
            <w:caps w:val="0"/>
            <w:szCs w:val="22"/>
            <w:lang w:val="fr-FR"/>
          </w:rPr>
          <w:t>tBuys</w:t>
        </w:r>
        <w:proofErr w:type="spellEnd"/>
      </w:hyperlink>
      <w:r w:rsidRPr="00A02BD5">
        <w:rPr>
          <w:rFonts w:eastAsiaTheme="minorEastAsia" w:cstheme="minorBidi"/>
          <w:b w:val="0"/>
          <w:bCs w:val="0"/>
          <w:caps w:val="0"/>
          <w:color w:val="auto"/>
          <w:szCs w:val="22"/>
          <w:lang w:val="fr-FR"/>
        </w:rPr>
        <w:t xml:space="preserve"> pour la prévention et le contrôle des maladies non transmissibles (MNT) ainsi que de la </w:t>
      </w:r>
      <w:hyperlink r:id="rId10" w:history="1">
        <w:r w:rsidRPr="00AE1F35">
          <w:rPr>
            <w:rStyle w:val="Hyperlink"/>
            <w:rFonts w:eastAsiaTheme="minorEastAsia" w:cstheme="minorBidi"/>
            <w:b w:val="0"/>
            <w:bCs w:val="0"/>
            <w:caps w:val="0"/>
            <w:szCs w:val="22"/>
            <w:lang w:val="fr-FR"/>
          </w:rPr>
          <w:t>Feuille de route relative aux MNT en Océanie</w:t>
        </w:r>
      </w:hyperlink>
      <w:r w:rsidRPr="00A02BD5">
        <w:rPr>
          <w:rFonts w:eastAsiaTheme="minorEastAsia" w:cstheme="minorBidi"/>
          <w:b w:val="0"/>
          <w:bCs w:val="0"/>
          <w:caps w:val="0"/>
          <w:color w:val="auto"/>
          <w:szCs w:val="22"/>
          <w:lang w:val="fr-FR"/>
        </w:rPr>
        <w:t xml:space="preserve">, et sont suivis par le Tableau de bord pour la lutte contre les maladies non transmissibles (MNT), élaboré par l’Alliance océanienne de surveillance pour la lutte  contre les MNT (MANA).  </w:t>
      </w:r>
    </w:p>
    <w:p w14:paraId="4CF3B92E" w14:textId="49E37D04" w:rsidR="00662E9B" w:rsidRPr="00A02BD5" w:rsidRDefault="00662E9B" w:rsidP="00D345A0">
      <w:pPr>
        <w:pStyle w:val="Heading1"/>
        <w:jc w:val="both"/>
        <w:rPr>
          <w:rFonts w:eastAsiaTheme="minorEastAsia" w:cstheme="minorBidi"/>
          <w:b w:val="0"/>
          <w:bCs w:val="0"/>
          <w:caps w:val="0"/>
          <w:color w:val="auto"/>
          <w:szCs w:val="22"/>
          <w:lang w:val="fr-FR"/>
        </w:rPr>
      </w:pPr>
      <w:r w:rsidRPr="00A02BD5">
        <w:rPr>
          <w:rFonts w:eastAsiaTheme="minorEastAsia" w:cstheme="minorBidi"/>
          <w:b w:val="0"/>
          <w:bCs w:val="0"/>
          <w:caps w:val="0"/>
          <w:color w:val="auto"/>
          <w:szCs w:val="22"/>
          <w:lang w:val="fr-FR"/>
        </w:rPr>
        <w:t>Les preuves aux plans mondial et régional ont montré que des droits d'accise uniformisés</w:t>
      </w:r>
      <w:r w:rsidR="000E2B87">
        <w:rPr>
          <w:rStyle w:val="FootnoteReference"/>
          <w:rFonts w:eastAsiaTheme="minorEastAsia" w:cstheme="minorBidi"/>
          <w:b w:val="0"/>
          <w:bCs w:val="0"/>
          <w:caps w:val="0"/>
          <w:color w:val="auto"/>
          <w:szCs w:val="22"/>
          <w:lang w:val="fr-FR"/>
        </w:rPr>
        <w:footnoteReference w:id="1"/>
      </w:r>
      <w:r w:rsidRPr="00A02BD5">
        <w:rPr>
          <w:rFonts w:eastAsiaTheme="minorEastAsia" w:cstheme="minorBidi"/>
          <w:b w:val="0"/>
          <w:bCs w:val="0"/>
          <w:caps w:val="0"/>
          <w:color w:val="auto"/>
          <w:szCs w:val="22"/>
          <w:lang w:val="fr-FR"/>
        </w:rPr>
        <w:t xml:space="preserve">  et spécifiques</w:t>
      </w:r>
      <w:r w:rsidR="000E2B87">
        <w:rPr>
          <w:rStyle w:val="FootnoteReference"/>
          <w:rFonts w:eastAsiaTheme="minorEastAsia" w:cstheme="minorBidi"/>
          <w:b w:val="0"/>
          <w:bCs w:val="0"/>
          <w:caps w:val="0"/>
          <w:color w:val="auto"/>
          <w:szCs w:val="22"/>
          <w:lang w:val="fr-FR"/>
        </w:rPr>
        <w:footnoteReference w:id="2"/>
      </w:r>
      <w:r w:rsidRPr="00A02BD5">
        <w:rPr>
          <w:rFonts w:eastAsiaTheme="minorEastAsia" w:cstheme="minorBidi"/>
          <w:b w:val="0"/>
          <w:bCs w:val="0"/>
          <w:caps w:val="0"/>
          <w:color w:val="auto"/>
          <w:szCs w:val="22"/>
          <w:lang w:val="fr-FR"/>
        </w:rPr>
        <w:t xml:space="preserve">  constituent pour les pouvoirs publics le type de taxe le plus simple à appliquer et à collecter pour décourager la consommation de produits nocifs. L'élasticité des prix permet de mesurer la réactivité des consommateurs face au changement du prix d'un produit, et varie selon les produits et les pays. Le tabac a tendance à être moins élastique que d'autres produits du fait de ses propriétés addictives ; l'élasticité de son prix est estimé respectivement à - 0,4 et - 0,5 pour les pays à revenu moyen et faible. L'élasticité des prix des boissons avec sucre ajouté (BSA) est estimée entre - 0,9 et - 1,3. De manière générale, l'élasticité des prix est plus élevée chez les consommateurs aux revenus plus faibles.</w:t>
      </w:r>
    </w:p>
    <w:p w14:paraId="1E23D27A" w14:textId="2E2E9CFB" w:rsidR="00A3329D" w:rsidRPr="00CF55AE" w:rsidRDefault="00662E9B" w:rsidP="00D345A0">
      <w:pPr>
        <w:rPr>
          <w:rFonts w:eastAsia="Malgun Gothic" w:cs="Times New Roman"/>
          <w:b/>
          <w:bCs/>
          <w:lang w:val="fr-FR" w:eastAsia="ko-KR"/>
        </w:rPr>
      </w:pPr>
      <w:r w:rsidRPr="00CF55AE">
        <w:rPr>
          <w:lang w:val="fr-FR"/>
        </w:rPr>
        <w:t xml:space="preserve">Des études d'impact sur les taxes appliquées aux produits liés aux MNT ont récemment été menées dans les </w:t>
      </w:r>
      <w:r w:rsidR="00A05867" w:rsidRPr="00CF55AE">
        <w:rPr>
          <w:lang w:val="fr-FR"/>
        </w:rPr>
        <w:t>États et Territoires insulaires du Pacifique</w:t>
      </w:r>
      <w:r w:rsidRPr="00CF55AE">
        <w:rPr>
          <w:lang w:val="fr-FR"/>
        </w:rPr>
        <w:t xml:space="preserve"> (cf. annexe). Certaines études ont modélisé l'impact potentiel sur les changements de fiscalité futurs, alors que d'autres ont mesuré l'impact qu'un changement de taxe précédemment mise en place aurait sur l'approvisionnement, le prix et/ou la consommation.</w:t>
      </w:r>
    </w:p>
    <w:p w14:paraId="5F4E595A" w14:textId="1B79652C" w:rsidR="009E0188" w:rsidRPr="00A02BD5" w:rsidRDefault="00BD60F7" w:rsidP="00D345A0">
      <w:pPr>
        <w:pStyle w:val="Heading1"/>
        <w:rPr>
          <w:rFonts w:eastAsia="Malgun Gothic" w:cs="Times New Roman"/>
          <w:b w:val="0"/>
          <w:bCs w:val="0"/>
          <w:lang w:val="fr-FR" w:eastAsia="ko-KR"/>
        </w:rPr>
      </w:pPr>
      <w:r w:rsidRPr="001D513D">
        <w:rPr>
          <w:lang w:val="fr-FR" w:eastAsia="ko-KR"/>
        </w:rPr>
        <w:t xml:space="preserve">2. </w:t>
      </w:r>
      <w:r w:rsidR="007608DB" w:rsidRPr="001D513D">
        <w:rPr>
          <w:lang w:val="fr-FR" w:eastAsia="ko-KR"/>
        </w:rPr>
        <w:t xml:space="preserve"> </w:t>
      </w:r>
      <w:r w:rsidR="00662E9B" w:rsidRPr="00A02BD5">
        <w:rPr>
          <w:lang w:val="fr-FR" w:eastAsia="ko-KR"/>
        </w:rPr>
        <w:t>PROGRÈS ET RÉALISATIONS</w:t>
      </w:r>
    </w:p>
    <w:p w14:paraId="5BE5CD15" w14:textId="77777777" w:rsidR="00662E9B" w:rsidRPr="00662E9B" w:rsidRDefault="00662E9B" w:rsidP="00D345A0">
      <w:pPr>
        <w:pStyle w:val="Heading1"/>
        <w:jc w:val="left"/>
        <w:rPr>
          <w:rFonts w:eastAsia="Malgun Gothic" w:cs="Times New Roman"/>
          <w:caps w:val="0"/>
          <w:color w:val="auto"/>
          <w:szCs w:val="22"/>
          <w:lang w:val="fr-FR" w:eastAsia="ko-KR"/>
        </w:rPr>
      </w:pPr>
      <w:r w:rsidRPr="00662E9B">
        <w:rPr>
          <w:rFonts w:eastAsia="Malgun Gothic" w:cs="Times New Roman"/>
          <w:caps w:val="0"/>
          <w:color w:val="auto"/>
          <w:szCs w:val="22"/>
          <w:lang w:val="fr-FR" w:eastAsia="ko-KR"/>
        </w:rPr>
        <w:t xml:space="preserve">2.1 Produits du tabac </w:t>
      </w:r>
    </w:p>
    <w:p w14:paraId="3C828DBC" w14:textId="42D1F670" w:rsidR="00C11CFD" w:rsidRPr="00D345A0" w:rsidRDefault="00662E9B" w:rsidP="00D345A0">
      <w:pPr>
        <w:spacing w:after="120"/>
        <w:rPr>
          <w:rFonts w:eastAsia="Malgun Gothic" w:cs="Times New Roman"/>
          <w:lang w:val="fr-FR" w:eastAsia="ko-KR"/>
        </w:rPr>
      </w:pPr>
      <w:r w:rsidRPr="00D345A0">
        <w:rPr>
          <w:rFonts w:eastAsia="Malgun Gothic" w:cs="Times New Roman"/>
          <w:lang w:val="fr-FR" w:eastAsia="ko-KR"/>
        </w:rPr>
        <w:t xml:space="preserve">La référence mondiale pour les droits d'accise sur le tabac, telle que recommandée par l'OMS, représente au moins 70 % du prix au détail des produits du tabac. La plupart des </w:t>
      </w:r>
      <w:r w:rsidR="00A05867" w:rsidRPr="00D345A0">
        <w:rPr>
          <w:rFonts w:eastAsia="Malgun Gothic" w:cs="Times New Roman"/>
          <w:lang w:val="fr-FR" w:eastAsia="ko-KR"/>
        </w:rPr>
        <w:t>États et Territoires insulaires du Pacifique</w:t>
      </w:r>
      <w:r w:rsidRPr="00D345A0">
        <w:rPr>
          <w:rFonts w:eastAsia="Malgun Gothic" w:cs="Times New Roman"/>
          <w:lang w:val="fr-FR" w:eastAsia="ko-KR"/>
        </w:rPr>
        <w:t xml:space="preserve"> n'ont pas atteint ce niveau. Afin d'établir une base de </w:t>
      </w:r>
      <w:r w:rsidRPr="00D345A0">
        <w:rPr>
          <w:rFonts w:eastAsia="Malgun Gothic" w:cs="Times New Roman"/>
          <w:lang w:val="fr-FR" w:eastAsia="ko-KR"/>
        </w:rPr>
        <w:lastRenderedPageBreak/>
        <w:t xml:space="preserve">données en faveur de taxes plus élevées sur le tabac, plusieurs pays, dont les Îles Cook (2015), les Palaos (2016), les États Fédérés de </w:t>
      </w:r>
    </w:p>
    <w:p w14:paraId="164F7A13" w14:textId="77EC8220" w:rsidR="00662E9B" w:rsidRDefault="00662E9B" w:rsidP="00D345A0">
      <w:pPr>
        <w:spacing w:after="120"/>
        <w:rPr>
          <w:rFonts w:eastAsia="Malgun Gothic" w:cs="Times New Roman"/>
          <w:lang w:val="fr-FR" w:eastAsia="ko-KR"/>
        </w:rPr>
      </w:pPr>
      <w:r w:rsidRPr="00662E9B">
        <w:rPr>
          <w:rFonts w:eastAsia="Malgun Gothic" w:cs="Times New Roman"/>
          <w:lang w:val="fr-FR" w:eastAsia="ko-KR"/>
        </w:rPr>
        <w:t xml:space="preserve">Micronésie (2018), les Îles Salomon (2018), les Tonga (2018) et le Vanuatu (2018) ont procédé à des évaluations de l'impact des taxes sur le tabac. </w:t>
      </w:r>
    </w:p>
    <w:p w14:paraId="456C0346" w14:textId="77777777" w:rsidR="00587BCD" w:rsidRPr="00587BCD" w:rsidRDefault="00587BCD" w:rsidP="00D345A0">
      <w:pPr>
        <w:spacing w:after="120"/>
        <w:rPr>
          <w:rFonts w:eastAsia="Malgun Gothic" w:cs="Times New Roman"/>
          <w:b/>
          <w:bCs/>
          <w:lang w:val="fr-FR" w:eastAsia="ko-KR"/>
        </w:rPr>
      </w:pPr>
      <w:r w:rsidRPr="00587BCD">
        <w:rPr>
          <w:rFonts w:eastAsia="Malgun Gothic" w:cs="Times New Roman"/>
          <w:b/>
          <w:bCs/>
          <w:lang w:val="fr-FR" w:eastAsia="ko-KR"/>
        </w:rPr>
        <w:t>2.2 Alcool</w:t>
      </w:r>
    </w:p>
    <w:p w14:paraId="5097EB5F" w14:textId="1E5383F0" w:rsidR="008C1D97" w:rsidRPr="00A02BD5" w:rsidRDefault="00587BCD" w:rsidP="00D345A0">
      <w:pPr>
        <w:rPr>
          <w:lang w:val="fr-FR" w:eastAsia="ko-KR"/>
        </w:rPr>
      </w:pPr>
      <w:r w:rsidRPr="00A02BD5">
        <w:rPr>
          <w:rFonts w:eastAsia="Malgun Gothic" w:cs="Times New Roman"/>
          <w:bCs/>
          <w:lang w:val="fr-FR" w:eastAsia="ko-KR"/>
        </w:rPr>
        <w:t xml:space="preserve">En comparaison du tabac et des BSA, il manque des études sur l'impact des taxes sur la consommation d'alcool dans les </w:t>
      </w:r>
      <w:r w:rsidR="00A05867">
        <w:rPr>
          <w:rFonts w:eastAsia="Malgun Gothic" w:cs="Times New Roman"/>
          <w:bCs/>
          <w:lang w:val="fr-FR" w:eastAsia="ko-KR"/>
        </w:rPr>
        <w:t>États et Territoires insulaires du Pacifique</w:t>
      </w:r>
      <w:r w:rsidRPr="00A02BD5">
        <w:rPr>
          <w:rFonts w:eastAsia="Malgun Gothic" w:cs="Times New Roman"/>
          <w:bCs/>
          <w:lang w:val="fr-FR" w:eastAsia="ko-KR"/>
        </w:rPr>
        <w:t xml:space="preserve">, même s'il existe des preuves au plan mondial de son impact sur la consommation. Seule une étude a été identifiée en Océanie, aux Tonga (2018), faisant état de certaines réductions sur la consommation après la mise en place de taxes. </w:t>
      </w:r>
      <w:r w:rsidR="00F27B44" w:rsidRPr="00A02BD5">
        <w:rPr>
          <w:lang w:val="fr-FR" w:eastAsia="ko-KR"/>
        </w:rPr>
        <w:t xml:space="preserve"> </w:t>
      </w:r>
    </w:p>
    <w:p w14:paraId="72E5E89F" w14:textId="2AB35F4A" w:rsidR="00587BCD" w:rsidRPr="00A02BD5" w:rsidRDefault="00587BCD" w:rsidP="00D345A0">
      <w:pPr>
        <w:tabs>
          <w:tab w:val="left" w:pos="5508"/>
        </w:tabs>
        <w:rPr>
          <w:rFonts w:eastAsia="Malgun Gothic" w:cs="Times New Roman"/>
          <w:b/>
          <w:bCs/>
          <w:lang w:val="fr-FR" w:eastAsia="ko-KR"/>
        </w:rPr>
      </w:pPr>
      <w:r w:rsidRPr="00A02BD5">
        <w:rPr>
          <w:rFonts w:eastAsia="Malgun Gothic" w:cs="Times New Roman"/>
          <w:b/>
          <w:bCs/>
          <w:lang w:val="fr-FR" w:eastAsia="ko-KR"/>
        </w:rPr>
        <w:t>2.3 Boissons avec sucre ajouté (BSA)</w:t>
      </w:r>
      <w:r w:rsidR="00C11CFD">
        <w:rPr>
          <w:rFonts w:eastAsia="Malgun Gothic" w:cs="Times New Roman"/>
          <w:b/>
          <w:bCs/>
          <w:lang w:val="fr-FR" w:eastAsia="ko-KR"/>
        </w:rPr>
        <w:tab/>
      </w:r>
    </w:p>
    <w:p w14:paraId="791A09FA" w14:textId="6176C002" w:rsidR="00587BCD" w:rsidRPr="00A02BD5" w:rsidRDefault="00587BCD" w:rsidP="00D345A0">
      <w:pPr>
        <w:rPr>
          <w:rFonts w:eastAsia="Malgun Gothic" w:cs="Times New Roman"/>
          <w:bCs/>
          <w:lang w:val="fr-FR" w:eastAsia="ko-KR"/>
        </w:rPr>
      </w:pPr>
      <w:r w:rsidRPr="00A02BD5">
        <w:rPr>
          <w:rFonts w:eastAsia="Malgun Gothic" w:cs="Times New Roman"/>
          <w:bCs/>
          <w:lang w:val="fr-FR" w:eastAsia="ko-KR"/>
        </w:rPr>
        <w:t>Sur la base des recommandations mondiales, les politiques fiscales qui entraînent une augmentation des prix au consommateur d'au moins 20 % sur les BSA devraient aboutir à des réductions proportionnelles de la consommation de ces mêmes produits</w:t>
      </w:r>
      <w:r w:rsidR="00235483">
        <w:rPr>
          <w:rStyle w:val="FootnoteReference"/>
          <w:rFonts w:eastAsia="Malgun Gothic" w:cs="Times New Roman"/>
          <w:bCs/>
          <w:lang w:val="fr-FR" w:eastAsia="ko-KR"/>
        </w:rPr>
        <w:footnoteReference w:id="3"/>
      </w:r>
      <w:r w:rsidRPr="00A02BD5">
        <w:rPr>
          <w:rFonts w:eastAsia="Malgun Gothic" w:cs="Times New Roman"/>
          <w:bCs/>
          <w:lang w:val="fr-FR" w:eastAsia="ko-KR"/>
        </w:rPr>
        <w:t xml:space="preserve">.  </w:t>
      </w:r>
    </w:p>
    <w:p w14:paraId="00427700" w14:textId="77777777" w:rsidR="00587BCD" w:rsidRDefault="00587BCD" w:rsidP="00D345A0">
      <w:pPr>
        <w:spacing w:after="120"/>
        <w:rPr>
          <w:rFonts w:eastAsia="Malgun Gothic" w:cs="Times New Roman"/>
          <w:bCs/>
          <w:lang w:val="fr-FR" w:eastAsia="ko-KR"/>
        </w:rPr>
      </w:pPr>
      <w:r w:rsidRPr="00A02BD5">
        <w:rPr>
          <w:rFonts w:eastAsia="Malgun Gothic" w:cs="Times New Roman"/>
          <w:bCs/>
          <w:lang w:val="fr-FR" w:eastAsia="ko-KR"/>
        </w:rPr>
        <w:t>Cinq États insulaires océaniens, à savoir, le Samoa (2015), les Îles Cook (2017), les Fidji (2017), la Papouasie-Nouvelle-Guinée (2018) et les Îles Salomon (2018), ont procédé à des évaluations d'impact sur les boissons avec sucre ajouté (BSA). L'étude des Îles Cook a évalué l'impact des taxes existantes sur les quantités à l'importation et a montré que ces quantités avaient diminué entre 2014 et 2015. Les études des Fidji, de la Papouasie-Nouvelle-Guinée, du Samoa et des Îles Salomon se sont toutes penchées sur l'impact potentiel des taxes proposées sur les BSA. Elles ont toutes prédit des recettes supplémentaires et des réductions de la consommation.</w:t>
      </w:r>
    </w:p>
    <w:p w14:paraId="5FF626D6" w14:textId="7099566E" w:rsidR="00587BCD" w:rsidRPr="00A02BD5" w:rsidRDefault="00587BCD" w:rsidP="00D345A0">
      <w:pPr>
        <w:rPr>
          <w:rFonts w:eastAsia="Malgun Gothic" w:cs="Times New Roman"/>
          <w:b/>
          <w:bCs/>
          <w:lang w:val="fr-FR" w:eastAsia="ko-KR"/>
        </w:rPr>
      </w:pPr>
      <w:r w:rsidRPr="00A02BD5">
        <w:rPr>
          <w:rFonts w:eastAsia="Malgun Gothic" w:cs="Times New Roman"/>
          <w:b/>
          <w:bCs/>
          <w:lang w:val="fr-FR" w:eastAsia="ko-KR"/>
        </w:rPr>
        <w:t>2.</w:t>
      </w:r>
      <w:r>
        <w:rPr>
          <w:rFonts w:eastAsia="Malgun Gothic" w:cs="Times New Roman"/>
          <w:b/>
          <w:bCs/>
          <w:lang w:val="fr-FR" w:eastAsia="ko-KR"/>
        </w:rPr>
        <w:t>4</w:t>
      </w:r>
      <w:r w:rsidRPr="00A02BD5">
        <w:rPr>
          <w:rFonts w:eastAsia="Malgun Gothic" w:cs="Times New Roman"/>
          <w:b/>
          <w:bCs/>
          <w:lang w:val="fr-FR" w:eastAsia="ko-KR"/>
        </w:rPr>
        <w:t xml:space="preserve"> Autres produits</w:t>
      </w:r>
    </w:p>
    <w:p w14:paraId="18222EB9" w14:textId="53A29117" w:rsidR="00587BCD" w:rsidRPr="00A02BD5" w:rsidRDefault="00587BCD" w:rsidP="00D345A0">
      <w:pPr>
        <w:rPr>
          <w:rFonts w:eastAsia="Malgun Gothic" w:cs="Times New Roman"/>
          <w:bCs/>
          <w:lang w:val="fr-FR" w:eastAsia="ko-KR"/>
        </w:rPr>
      </w:pPr>
      <w:r w:rsidRPr="00A02BD5">
        <w:rPr>
          <w:rFonts w:eastAsia="Malgun Gothic" w:cs="Times New Roman"/>
          <w:bCs/>
          <w:lang w:val="fr-FR" w:eastAsia="ko-KR"/>
        </w:rPr>
        <w:t>Les données dont nous disposons au plan mondial indiquent que subventionner les fruits et légumes frais pour entraîner une baisse de 10 à 30 % des prix pourraient favoriser</w:t>
      </w:r>
      <w:r w:rsidR="00357A81">
        <w:rPr>
          <w:rFonts w:eastAsia="Malgun Gothic" w:cs="Times New Roman"/>
          <w:bCs/>
          <w:lang w:val="fr-FR" w:eastAsia="ko-KR"/>
        </w:rPr>
        <w:t xml:space="preserve"> une plus grande consommation.</w:t>
      </w:r>
      <w:r w:rsidRPr="00A02BD5">
        <w:rPr>
          <w:rFonts w:eastAsia="Malgun Gothic" w:cs="Times New Roman"/>
          <w:bCs/>
          <w:lang w:val="fr-FR" w:eastAsia="ko-KR"/>
        </w:rPr>
        <w:t xml:space="preserve"> </w:t>
      </w:r>
    </w:p>
    <w:p w14:paraId="72673530" w14:textId="69E71A58" w:rsidR="00587BCD" w:rsidRPr="00A02BD5" w:rsidRDefault="00587BCD" w:rsidP="00D345A0">
      <w:pPr>
        <w:rPr>
          <w:rFonts w:eastAsia="Malgun Gothic" w:cs="Times New Roman"/>
          <w:bCs/>
          <w:lang w:val="fr-FR" w:eastAsia="ko-KR"/>
        </w:rPr>
      </w:pPr>
      <w:r w:rsidRPr="00A02BD5">
        <w:rPr>
          <w:rFonts w:eastAsia="Malgun Gothic" w:cs="Times New Roman"/>
          <w:bCs/>
          <w:lang w:val="fr-FR" w:eastAsia="ko-KR"/>
        </w:rPr>
        <w:t>Les Fidji (2017) ont lancé une évaluation afin de se pencher sur l'impact qu'aurait une baisse des taxes sur les fruits et légumes et sur des huiles plus saines (par exemple, les huiles végétales), et d'une augmentation des taxes sur les huiles malsaines et le glutamate de sodium (MSG). L'évaluation a souligné une augmentation du volume des légumes importés entre 2010 et 2014, avec une augment</w:t>
      </w:r>
      <w:r w:rsidR="00C67631">
        <w:rPr>
          <w:rFonts w:eastAsia="Malgun Gothic" w:cs="Times New Roman"/>
          <w:bCs/>
          <w:lang w:val="fr-FR" w:eastAsia="ko-KR"/>
        </w:rPr>
        <w:t>ation particulièrement nette en </w:t>
      </w:r>
      <w:r w:rsidRPr="00A02BD5">
        <w:rPr>
          <w:rFonts w:eastAsia="Malgun Gothic" w:cs="Times New Roman"/>
          <w:bCs/>
          <w:lang w:val="fr-FR" w:eastAsia="ko-KR"/>
        </w:rPr>
        <w:t xml:space="preserve">2013 lorsque l'accise a été ramenée à 0 %. Durant cette même </w:t>
      </w:r>
      <w:r w:rsidRPr="00A02BD5">
        <w:rPr>
          <w:rFonts w:eastAsia="Malgun Gothic" w:cs="Times New Roman"/>
          <w:bCs/>
          <w:lang w:val="fr-FR" w:eastAsia="ko-KR"/>
        </w:rPr>
        <w:lastRenderedPageBreak/>
        <w:t xml:space="preserve">période, le volume d'huile de palme importée a diminué mais les importations de MSG n'ont pas montré de changement global, peut-être du fait d'une faible augmentation du prix à l'unité. </w:t>
      </w:r>
    </w:p>
    <w:p w14:paraId="5281BCDF" w14:textId="77777777" w:rsidR="00587BCD" w:rsidRDefault="00587BCD" w:rsidP="00D345A0">
      <w:pPr>
        <w:spacing w:after="120"/>
        <w:rPr>
          <w:rFonts w:eastAsia="Malgun Gothic" w:cs="Times New Roman"/>
          <w:bCs/>
          <w:lang w:val="fr-FR" w:eastAsia="ko-KR"/>
        </w:rPr>
      </w:pPr>
      <w:r w:rsidRPr="00A02BD5">
        <w:rPr>
          <w:rFonts w:eastAsia="Malgun Gothic" w:cs="Times New Roman"/>
          <w:bCs/>
          <w:lang w:val="fr-FR" w:eastAsia="ko-KR"/>
        </w:rPr>
        <w:t xml:space="preserve">Le Vanuatu (2018) a évalué l'impact potentiel sur la santé si les consommateurs se tournaient vers des options plus saines en vertu des mesures fiscales et financières. Selon cette étude, si cinq produits alimentaires transformés (biscuits pour le petit-déjeuner, biscuits à la crème, viande en conserve et nouilles instantanées) étaient remplacés par des options plus saines, plus de 5,3% de morts dues aux MNT pourraient potentiellement être retardées ou évitées chez les adultes âgés de 15 ans et plus.  </w:t>
      </w:r>
    </w:p>
    <w:p w14:paraId="3CF19896" w14:textId="77777777" w:rsidR="00F62E37" w:rsidRPr="002E19CA" w:rsidRDefault="00F62E37" w:rsidP="00D345A0">
      <w:pPr>
        <w:pStyle w:val="TOC1"/>
        <w:rPr>
          <w:rFonts w:eastAsia="Malgun Gothic"/>
        </w:rPr>
      </w:pPr>
    </w:p>
    <w:p w14:paraId="1B779493" w14:textId="480EDD5C" w:rsidR="00E2631E" w:rsidRPr="00D345A0" w:rsidRDefault="00CA0B89" w:rsidP="00D345A0">
      <w:pPr>
        <w:spacing w:after="120"/>
        <w:jc w:val="center"/>
        <w:rPr>
          <w:rFonts w:eastAsia="Malgun Gothic" w:cs="Times New Roman"/>
          <w:b/>
          <w:lang w:val="fr-FR" w:eastAsia="ko-KR"/>
        </w:rPr>
      </w:pPr>
      <w:r w:rsidRPr="00D345A0">
        <w:rPr>
          <w:rFonts w:eastAsia="Malgun Gothic" w:cs="Times New Roman"/>
          <w:b/>
          <w:bCs/>
          <w:lang w:val="fr-FR" w:eastAsia="ko-KR"/>
        </w:rPr>
        <w:t xml:space="preserve">3.  </w:t>
      </w:r>
      <w:r w:rsidR="00587BCD" w:rsidRPr="00D345A0">
        <w:rPr>
          <w:rFonts w:eastAsia="Malgun Gothic" w:cs="Times New Roman"/>
          <w:b/>
          <w:bCs/>
          <w:lang w:val="fr-FR" w:eastAsia="ko-KR"/>
        </w:rPr>
        <w:t>DÉFIS</w:t>
      </w:r>
    </w:p>
    <w:p w14:paraId="7BCA1CEB" w14:textId="77777777" w:rsidR="002E19CA" w:rsidRPr="00D345A0" w:rsidRDefault="002E19CA" w:rsidP="00D345A0">
      <w:pPr>
        <w:pStyle w:val="TOC1"/>
      </w:pPr>
      <w:r w:rsidRPr="00D345A0">
        <w:t>3.1</w:t>
      </w:r>
      <w:r w:rsidRPr="00D345A0">
        <w:tab/>
        <w:t>Mise en œuvre des mesures fiscales pour impacter la consommation</w:t>
      </w:r>
    </w:p>
    <w:p w14:paraId="13C45378" w14:textId="1EA513A6"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La mise en place de mesures fiscales est parfois sapée par l'interférence du secteur d'activité concerné.  L'évaluation d'impact aux Îles Cook (2017) a permis d'identifier l'accaparement</w:t>
      </w:r>
      <w:r w:rsidR="00617664">
        <w:rPr>
          <w:rStyle w:val="FootnoteReference"/>
          <w:rFonts w:eastAsia="Times New Roman" w:cs="Times New Roman"/>
          <w:lang w:val="fr-FR" w:eastAsia="en-US"/>
        </w:rPr>
        <w:footnoteReference w:id="4"/>
      </w:r>
      <w:r w:rsidRPr="002E19CA">
        <w:rPr>
          <w:rFonts w:eastAsia="Times New Roman" w:cs="Times New Roman"/>
          <w:lang w:val="fr-FR" w:eastAsia="en-US"/>
        </w:rPr>
        <w:t xml:space="preserve">  utilisée comme tactique par l'industrie du tabac</w:t>
      </w:r>
      <w:r w:rsidR="0098207F">
        <w:rPr>
          <w:rStyle w:val="FootnoteReference"/>
          <w:rFonts w:eastAsia="Times New Roman" w:cs="Times New Roman"/>
          <w:lang w:val="fr-FR" w:eastAsia="en-US"/>
        </w:rPr>
        <w:footnoteReference w:id="5"/>
      </w:r>
      <w:r w:rsidRPr="002E19CA">
        <w:rPr>
          <w:rFonts w:eastAsia="Times New Roman" w:cs="Times New Roman"/>
          <w:lang w:val="fr-FR" w:eastAsia="en-US"/>
        </w:rPr>
        <w:t xml:space="preserve">  pour amortir l'impact des changements de taxes annoncés sur les consommateurs. Une autre tactique consiste à augmenter la marge de profit ou le rapport coût, assurance et fret (CAF) et valeur du produit - augmentant ainsi le prix - avant l'annonce d'une augmentation des taxes. En manipulant les prix en amont, les augmentations de prix qui découlent de l'augmentation des taxes ne semblent guère importantes. De plus, les importateurs qui font entrer des produits moins chers ont la possibilité d'accroître la disponibilité de produits plus abordables en termes de prix afin de contrecarrer l'augmentation de taxe, résultant ainsi en un impact négligeable sur la consommation. </w:t>
      </w:r>
    </w:p>
    <w:p w14:paraId="6DC2CBE0" w14:textId="1A87CE93"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Au niveau du détail, les ventes à l'unité (par exemple, tabac à rouler et vente de cigarettes au détail) sapent les incitations fiscales en rendant le produit plus accessible et immédiatement abordable. De manière similaire, la vente de produits non taxés de même nature (par exemple, du tabac qui pousse localement, des boissons de fabrication artisanale, des sirops ou des jus concentrés faits maison) accroît la possibilité pour les consommateurs de remplacer</w:t>
      </w:r>
      <w:r w:rsidR="00FB2E88">
        <w:rPr>
          <w:rStyle w:val="FootnoteReference"/>
          <w:rFonts w:eastAsia="Times New Roman" w:cs="Times New Roman"/>
          <w:lang w:val="fr-FR" w:eastAsia="en-US"/>
        </w:rPr>
        <w:footnoteReference w:id="6"/>
      </w:r>
      <w:r w:rsidRPr="002E19CA">
        <w:rPr>
          <w:rFonts w:eastAsia="Times New Roman" w:cs="Times New Roman"/>
          <w:lang w:val="fr-FR" w:eastAsia="en-US"/>
        </w:rPr>
        <w:t xml:space="preserve"> ces produits, sapant par là même les impacts financiers et fiscaux sur la consommation. Par exemple, l'étude des Tonga (2018) a montré que certains fumeurs utilisaient un produit local non taxé comme substitut. L'étude a également identifié des recettes potentielles si le produit local venait à être taxé. Les expériences des </w:t>
      </w:r>
      <w:r w:rsidR="00A05867">
        <w:rPr>
          <w:rFonts w:eastAsia="Times New Roman" w:cs="Times New Roman"/>
          <w:lang w:val="fr-FR" w:eastAsia="en-US"/>
        </w:rPr>
        <w:t>États et Territoires insulaires du Pacifique</w:t>
      </w:r>
      <w:r w:rsidRPr="002E19CA">
        <w:rPr>
          <w:rFonts w:eastAsia="Times New Roman" w:cs="Times New Roman"/>
          <w:lang w:val="fr-FR" w:eastAsia="en-US"/>
        </w:rPr>
        <w:t xml:space="preserve"> avec la taxation des BSA a mis en lumière la nécessité </w:t>
      </w:r>
      <w:r w:rsidRPr="002E19CA">
        <w:rPr>
          <w:rFonts w:eastAsia="Times New Roman" w:cs="Times New Roman"/>
          <w:lang w:val="fr-FR" w:eastAsia="en-US"/>
        </w:rPr>
        <w:lastRenderedPageBreak/>
        <w:t>d'établir une définition claire des BSA, qui prenne en compte toutes les BSA existantes; autrement, il y aura plus de chance de remplacement4 de ces produits par les consommateurs. Les BSA pourraient être définis comme des boissons qui contiennent un édulcorant calorique tel que le sucrose, les sirops de maïs ou les concentrés de jus de fruits à forte teneur en fructose. Un autre exemple vient de Fidji où une possible faille permettraient aux importateurs de ne pas mentionner qu'il s'agit d'huile de palme et d'indiquer huile végétale, échappant ainsi à une taxe plus élevée.</w:t>
      </w:r>
    </w:p>
    <w:p w14:paraId="651453CC" w14:textId="3D89CBCF"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 xml:space="preserve">Les accords commerciaux entre les </w:t>
      </w:r>
      <w:r w:rsidR="00A05867">
        <w:rPr>
          <w:rFonts w:eastAsia="Times New Roman" w:cs="Times New Roman"/>
          <w:lang w:val="fr-FR" w:eastAsia="en-US"/>
        </w:rPr>
        <w:t>États et Territoires insulaires du Pacifique</w:t>
      </w:r>
      <w:r w:rsidRPr="002E19CA">
        <w:rPr>
          <w:rFonts w:eastAsia="Times New Roman" w:cs="Times New Roman"/>
          <w:lang w:val="fr-FR" w:eastAsia="en-US"/>
        </w:rPr>
        <w:t xml:space="preserve"> pourraient permettre des exemptions de taxes sur certaines BSA ou sur d'autres produits fabriqués localement, ce qui affecte également les prix et donc la consommation.</w:t>
      </w:r>
    </w:p>
    <w:p w14:paraId="57DFA9E0" w14:textId="77777777" w:rsidR="002E19CA" w:rsidRPr="002E19CA" w:rsidRDefault="002E19CA" w:rsidP="00D345A0">
      <w:pPr>
        <w:pStyle w:val="TOC1"/>
      </w:pPr>
      <w:r w:rsidRPr="002E19CA">
        <w:t>3.2</w:t>
      </w:r>
      <w:r w:rsidRPr="002E19CA">
        <w:tab/>
        <w:t>Mise en œuvre des évaluations de l'impact fiscal</w:t>
      </w:r>
    </w:p>
    <w:p w14:paraId="3A84DE60" w14:textId="77777777"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Les évaluations de l'impact fiscal posent des enjeux, parmi lesquels des limites en termes de qualité et de transmission en temps utile des données sur les importations, la fabrication, les recettes et les taxes. Des incertitudes émergent lorsque les données d'approvisionnement, de prix ou de consommation ne sont pas disponibles.</w:t>
      </w:r>
    </w:p>
    <w:p w14:paraId="1653E736" w14:textId="77777777"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 xml:space="preserve">De plus, les pays souvent ne collectent pas les données de manière régulière. En règle générale, les évaluations de l'impact fiscal ne peuvent pas établir un lien de cause à effet entre une taxe et la consommation parce que l'impact de l'augmentation de la taxe ne peut être isolée et mesurée efficacement. En outre, plusieurs facteurs sont en jeu et influencent la consommation, tels que le revenu, le goût, la disponibilité, et d'autres paramètres. </w:t>
      </w:r>
    </w:p>
    <w:p w14:paraId="2BD9D065" w14:textId="77777777" w:rsidR="002E19CA" w:rsidRDefault="002E19CA" w:rsidP="00D345A0">
      <w:pPr>
        <w:rPr>
          <w:rFonts w:eastAsia="Times New Roman" w:cs="Times New Roman"/>
          <w:lang w:val="fr-FR" w:eastAsia="en-US"/>
        </w:rPr>
      </w:pPr>
      <w:r w:rsidRPr="002E19CA">
        <w:rPr>
          <w:rFonts w:eastAsia="Times New Roman" w:cs="Times New Roman"/>
          <w:lang w:val="fr-FR" w:eastAsia="en-US"/>
        </w:rPr>
        <w:t xml:space="preserve">Les évaluations de l'impact fiscal demandent du temps pour collecter et analyser les données - souvent entre 3 et 12 mois selon la portée de l'étude et les types de données utilisées.  </w:t>
      </w:r>
    </w:p>
    <w:p w14:paraId="5586F520" w14:textId="77777777" w:rsidR="009D5C2E" w:rsidRPr="002E19CA" w:rsidRDefault="009D5C2E" w:rsidP="00D345A0">
      <w:pPr>
        <w:rPr>
          <w:rFonts w:eastAsia="Times New Roman" w:cs="Times New Roman"/>
          <w:lang w:val="fr-FR" w:eastAsia="en-US"/>
        </w:rPr>
      </w:pPr>
    </w:p>
    <w:p w14:paraId="5E1C7AFF" w14:textId="77777777" w:rsidR="002E19CA" w:rsidRPr="00D345A0" w:rsidRDefault="002E19CA" w:rsidP="00D345A0">
      <w:pPr>
        <w:jc w:val="center"/>
        <w:rPr>
          <w:rFonts w:eastAsia="Times New Roman" w:cs="Times New Roman"/>
          <w:b/>
          <w:lang w:val="fr-FR" w:eastAsia="en-US"/>
        </w:rPr>
      </w:pPr>
      <w:r w:rsidRPr="00D345A0">
        <w:rPr>
          <w:rFonts w:eastAsia="Times New Roman" w:cs="Times New Roman"/>
          <w:b/>
          <w:lang w:val="fr-FR" w:eastAsia="en-US"/>
        </w:rPr>
        <w:t>4.  ORIENTATIONS FUTURES</w:t>
      </w:r>
    </w:p>
    <w:p w14:paraId="05A76D58" w14:textId="77777777"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D'autres évaluations de l'impact fiscal sont nécessaires afin d'établir une base de données pour le contexte océanien. Les leçons tirées des études précédentes devraient être prises en compte, telles que des mesures élastiques et les aspects qui sapent les mesures fiscales visant à encourager les comportements sains.</w:t>
      </w:r>
    </w:p>
    <w:p w14:paraId="031A813E" w14:textId="7FE82320"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 xml:space="preserve">Renforcer les capacités des </w:t>
      </w:r>
      <w:r w:rsidR="00A05867">
        <w:rPr>
          <w:rFonts w:eastAsia="Times New Roman" w:cs="Times New Roman"/>
          <w:lang w:val="fr-FR" w:eastAsia="en-US"/>
        </w:rPr>
        <w:t>États et Territoires insulaires du Pacifique</w:t>
      </w:r>
      <w:r w:rsidRPr="002E19CA">
        <w:rPr>
          <w:rFonts w:eastAsia="Times New Roman" w:cs="Times New Roman"/>
          <w:lang w:val="fr-FR" w:eastAsia="en-US"/>
        </w:rPr>
        <w:t xml:space="preserve"> pour mener des évaluations sur l'impact fiscal est un projet important, qui pourrait conduire à des collaborations transversales accrues ainsi qu'à des systèmes d'information améliorés. </w:t>
      </w:r>
    </w:p>
    <w:p w14:paraId="229B0364" w14:textId="77777777" w:rsidR="009D5C2E" w:rsidRDefault="009D5C2E" w:rsidP="00D345A0">
      <w:pPr>
        <w:pStyle w:val="TOC1"/>
      </w:pPr>
    </w:p>
    <w:p w14:paraId="2ADCEAD0" w14:textId="77777777" w:rsidR="002E19CA" w:rsidRPr="002E19CA" w:rsidRDefault="002E19CA" w:rsidP="00D345A0">
      <w:pPr>
        <w:pStyle w:val="TOC1"/>
      </w:pPr>
      <w:r w:rsidRPr="002E19CA">
        <w:t>4.1 Recommandations à l'intention des pouvoirs publics</w:t>
      </w:r>
    </w:p>
    <w:p w14:paraId="7828E562" w14:textId="77777777"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Les ministres de la santé pourraient envisager de :</w:t>
      </w:r>
    </w:p>
    <w:p w14:paraId="081CE972" w14:textId="51269110" w:rsidR="008920CE" w:rsidRPr="002E19CA" w:rsidRDefault="008920CE" w:rsidP="00D345A0">
      <w:pPr>
        <w:rPr>
          <w:rFonts w:eastAsia="Times New Roman" w:cs="Times New Roman"/>
          <w:lang w:val="fr-FR" w:eastAsia="en-US"/>
        </w:rPr>
      </w:pPr>
      <w:r>
        <w:rPr>
          <w:rFonts w:eastAsia="Times New Roman" w:cs="Times New Roman"/>
          <w:lang w:val="fr-FR" w:eastAsia="en-US"/>
        </w:rPr>
        <w:tab/>
        <w:t xml:space="preserve">1) </w:t>
      </w:r>
      <w:r w:rsidR="002E19CA" w:rsidRPr="002E19CA">
        <w:rPr>
          <w:rFonts w:eastAsia="Times New Roman" w:cs="Times New Roman"/>
          <w:lang w:val="fr-FR" w:eastAsia="en-US"/>
        </w:rPr>
        <w:t xml:space="preserve">procéder à des évaluations de l'impact fiscal et partager les résultats avec les secteurs autres </w:t>
      </w:r>
      <w:r>
        <w:rPr>
          <w:rFonts w:eastAsia="Times New Roman" w:cs="Times New Roman"/>
          <w:lang w:val="fr-FR" w:eastAsia="en-US"/>
        </w:rPr>
        <w:tab/>
      </w:r>
      <w:r w:rsidR="002E19CA" w:rsidRPr="002E19CA">
        <w:rPr>
          <w:rFonts w:eastAsia="Times New Roman" w:cs="Times New Roman"/>
          <w:lang w:val="fr-FR" w:eastAsia="en-US"/>
        </w:rPr>
        <w:t xml:space="preserve">que la santé ainsi qu'avec d'autres partenaires aux échelons régional et international. Planifier </w:t>
      </w:r>
      <w:r>
        <w:rPr>
          <w:rFonts w:eastAsia="Times New Roman" w:cs="Times New Roman"/>
          <w:lang w:val="fr-FR" w:eastAsia="en-US"/>
        </w:rPr>
        <w:tab/>
      </w:r>
      <w:r w:rsidR="002E19CA" w:rsidRPr="002E19CA">
        <w:rPr>
          <w:rFonts w:eastAsia="Times New Roman" w:cs="Times New Roman"/>
          <w:lang w:val="fr-FR" w:eastAsia="en-US"/>
        </w:rPr>
        <w:t>ces évaluations est préférable avant tout changement de taxe ;</w:t>
      </w:r>
    </w:p>
    <w:p w14:paraId="73EE15C1" w14:textId="056A4CEC" w:rsidR="002E19CA" w:rsidRPr="002E19CA" w:rsidRDefault="008920CE" w:rsidP="00D345A0">
      <w:pPr>
        <w:rPr>
          <w:rFonts w:eastAsia="Times New Roman" w:cs="Times New Roman"/>
          <w:lang w:val="fr-FR" w:eastAsia="en-US"/>
        </w:rPr>
      </w:pPr>
      <w:r>
        <w:rPr>
          <w:rFonts w:eastAsia="Times New Roman" w:cs="Times New Roman"/>
          <w:lang w:val="fr-FR" w:eastAsia="en-US"/>
        </w:rPr>
        <w:tab/>
        <w:t xml:space="preserve">2) </w:t>
      </w:r>
      <w:r w:rsidR="002E19CA" w:rsidRPr="002E19CA">
        <w:rPr>
          <w:rFonts w:eastAsia="Times New Roman" w:cs="Times New Roman"/>
          <w:lang w:val="fr-FR" w:eastAsia="en-US"/>
        </w:rPr>
        <w:t xml:space="preserve">renforcer les mesures pour assurer un suivi des données sur la consommation, l'importation </w:t>
      </w:r>
      <w:r>
        <w:rPr>
          <w:rFonts w:eastAsia="Times New Roman" w:cs="Times New Roman"/>
          <w:lang w:val="fr-FR" w:eastAsia="en-US"/>
        </w:rPr>
        <w:tab/>
      </w:r>
      <w:r w:rsidR="002E19CA" w:rsidRPr="002E19CA">
        <w:rPr>
          <w:rFonts w:eastAsia="Times New Roman" w:cs="Times New Roman"/>
          <w:lang w:val="fr-FR" w:eastAsia="en-US"/>
        </w:rPr>
        <w:t>et les prix du tabac, de l'alcool, des aliments et des boissons non alcoolisées ;</w:t>
      </w:r>
    </w:p>
    <w:p w14:paraId="0FC578DD" w14:textId="18102A02" w:rsidR="002E19CA" w:rsidRPr="00357A81" w:rsidRDefault="008920CE" w:rsidP="00D345A0">
      <w:pPr>
        <w:rPr>
          <w:rFonts w:eastAsia="Times New Roman" w:cs="Times New Roman"/>
          <w:lang w:val="fr-FR" w:eastAsia="en-US"/>
        </w:rPr>
      </w:pPr>
      <w:r>
        <w:rPr>
          <w:rFonts w:eastAsia="Times New Roman" w:cs="Times New Roman"/>
          <w:lang w:val="fr-FR" w:eastAsia="en-US"/>
        </w:rPr>
        <w:tab/>
        <w:t xml:space="preserve">3) </w:t>
      </w:r>
      <w:r w:rsidR="002E19CA" w:rsidRPr="00357A81">
        <w:rPr>
          <w:rFonts w:eastAsia="Times New Roman" w:cs="Times New Roman"/>
          <w:lang w:val="fr-FR" w:eastAsia="en-US"/>
        </w:rPr>
        <w:t xml:space="preserve">recourir à des actions permettant d'éviter de saper les impacts de la fiscalité (par exemple </w:t>
      </w:r>
      <w:r>
        <w:rPr>
          <w:rFonts w:eastAsia="Times New Roman" w:cs="Times New Roman"/>
          <w:lang w:val="fr-FR" w:eastAsia="en-US"/>
        </w:rPr>
        <w:tab/>
      </w:r>
      <w:r w:rsidR="002E19CA" w:rsidRPr="00357A81">
        <w:rPr>
          <w:rFonts w:eastAsia="Times New Roman" w:cs="Times New Roman"/>
          <w:lang w:val="fr-FR" w:eastAsia="en-US"/>
        </w:rPr>
        <w:t xml:space="preserve">avec des définitions claires, des règles d'étiquetage strictes, l'interdiction d'accaparer, des </w:t>
      </w:r>
      <w:r>
        <w:rPr>
          <w:rFonts w:eastAsia="Times New Roman" w:cs="Times New Roman"/>
          <w:lang w:val="fr-FR" w:eastAsia="en-US"/>
        </w:rPr>
        <w:tab/>
      </w:r>
      <w:r w:rsidR="002E19CA" w:rsidRPr="00357A81">
        <w:rPr>
          <w:rFonts w:eastAsia="Times New Roman" w:cs="Times New Roman"/>
          <w:lang w:val="fr-FR" w:eastAsia="en-US"/>
        </w:rPr>
        <w:t>taxes sur tous les produits d'une même catégorie) ;</w:t>
      </w:r>
    </w:p>
    <w:p w14:paraId="25BA7168" w14:textId="72454FBC" w:rsidR="002E19CA" w:rsidRPr="002E19CA" w:rsidRDefault="008920CE" w:rsidP="00D345A0">
      <w:pPr>
        <w:rPr>
          <w:rFonts w:eastAsia="Times New Roman" w:cs="Times New Roman"/>
          <w:lang w:val="fr-FR" w:eastAsia="en-US"/>
        </w:rPr>
      </w:pPr>
      <w:r>
        <w:rPr>
          <w:rFonts w:eastAsia="Times New Roman" w:cs="Times New Roman"/>
          <w:lang w:val="fr-FR" w:eastAsia="en-US"/>
        </w:rPr>
        <w:tab/>
        <w:t xml:space="preserve">4) </w:t>
      </w:r>
      <w:r w:rsidR="002E19CA" w:rsidRPr="002E19CA">
        <w:rPr>
          <w:rFonts w:eastAsia="Times New Roman" w:cs="Times New Roman"/>
          <w:lang w:val="fr-FR" w:eastAsia="en-US"/>
        </w:rPr>
        <w:t xml:space="preserve">Exclure le tabac et l'alcool des accords commerciaux pour éviter une demande de réduction </w:t>
      </w:r>
      <w:r>
        <w:rPr>
          <w:rFonts w:eastAsia="Times New Roman" w:cs="Times New Roman"/>
          <w:lang w:val="fr-FR" w:eastAsia="en-US"/>
        </w:rPr>
        <w:tab/>
      </w:r>
      <w:r w:rsidR="002E19CA" w:rsidRPr="002E19CA">
        <w:rPr>
          <w:rFonts w:eastAsia="Times New Roman" w:cs="Times New Roman"/>
          <w:lang w:val="fr-FR" w:eastAsia="en-US"/>
        </w:rPr>
        <w:t>des mesures fiscales ; et</w:t>
      </w:r>
    </w:p>
    <w:p w14:paraId="7C9D6251" w14:textId="5347559C" w:rsidR="002E19CA" w:rsidRPr="002E19CA" w:rsidRDefault="008920CE" w:rsidP="00D345A0">
      <w:pPr>
        <w:rPr>
          <w:rFonts w:eastAsia="Times New Roman" w:cs="Times New Roman"/>
          <w:lang w:val="fr-FR" w:eastAsia="en-US"/>
        </w:rPr>
      </w:pPr>
      <w:r>
        <w:rPr>
          <w:rFonts w:eastAsia="Times New Roman" w:cs="Times New Roman"/>
          <w:lang w:val="fr-FR" w:eastAsia="en-US"/>
        </w:rPr>
        <w:tab/>
        <w:t xml:space="preserve">5) </w:t>
      </w:r>
      <w:r w:rsidR="002E19CA" w:rsidRPr="002E19CA">
        <w:rPr>
          <w:rFonts w:eastAsia="Times New Roman" w:cs="Times New Roman"/>
          <w:lang w:val="fr-FR" w:eastAsia="en-US"/>
        </w:rPr>
        <w:t xml:space="preserve">recourir à des mesures alignées sur les taxes pour soutenir des comportements plus sains </w:t>
      </w:r>
      <w:r>
        <w:rPr>
          <w:rFonts w:eastAsia="Times New Roman" w:cs="Times New Roman"/>
          <w:lang w:val="fr-FR" w:eastAsia="en-US"/>
        </w:rPr>
        <w:tab/>
      </w:r>
      <w:r w:rsidR="002E19CA" w:rsidRPr="002E19CA">
        <w:rPr>
          <w:rFonts w:eastAsia="Times New Roman" w:cs="Times New Roman"/>
          <w:lang w:val="fr-FR" w:eastAsia="en-US"/>
        </w:rPr>
        <w:t xml:space="preserve">par une augmentation et/ou une réduction des taxes, en ligne avec les recommandations </w:t>
      </w:r>
      <w:r>
        <w:rPr>
          <w:rFonts w:eastAsia="Times New Roman" w:cs="Times New Roman"/>
          <w:lang w:val="fr-FR" w:eastAsia="en-US"/>
        </w:rPr>
        <w:tab/>
      </w:r>
      <w:r w:rsidR="002E19CA" w:rsidRPr="002E19CA">
        <w:rPr>
          <w:rFonts w:eastAsia="Times New Roman" w:cs="Times New Roman"/>
          <w:lang w:val="fr-FR" w:eastAsia="en-US"/>
        </w:rPr>
        <w:t xml:space="preserve">mondiales. </w:t>
      </w:r>
    </w:p>
    <w:p w14:paraId="3CD1BED4" w14:textId="77777777" w:rsidR="002E19CA" w:rsidRPr="00357A81" w:rsidRDefault="002E19CA" w:rsidP="00D345A0">
      <w:pPr>
        <w:pStyle w:val="TOC1"/>
      </w:pPr>
      <w:r w:rsidRPr="00357A81">
        <w:t>4.2 Recommandations à l'intention des partenaires de développement et des universitaires</w:t>
      </w:r>
    </w:p>
    <w:p w14:paraId="5592992A" w14:textId="77777777" w:rsidR="002E19CA" w:rsidRPr="002E19CA" w:rsidRDefault="002E19CA" w:rsidP="00D345A0">
      <w:pPr>
        <w:rPr>
          <w:rFonts w:eastAsia="Times New Roman" w:cs="Times New Roman"/>
          <w:lang w:val="fr-FR" w:eastAsia="en-US"/>
        </w:rPr>
      </w:pPr>
      <w:r w:rsidRPr="002E19CA">
        <w:rPr>
          <w:rFonts w:eastAsia="Times New Roman" w:cs="Times New Roman"/>
          <w:lang w:val="fr-FR" w:eastAsia="en-US"/>
        </w:rPr>
        <w:t>Les partenaires de développement et les universitaires pourraient envisager de :</w:t>
      </w:r>
    </w:p>
    <w:p w14:paraId="5C73D3F3" w14:textId="1C3F5975" w:rsidR="008920CE" w:rsidRPr="002E19CA" w:rsidRDefault="008920CE" w:rsidP="00D345A0">
      <w:pPr>
        <w:rPr>
          <w:rFonts w:eastAsia="Times New Roman" w:cs="Times New Roman"/>
          <w:lang w:val="fr-FR" w:eastAsia="en-US"/>
        </w:rPr>
      </w:pPr>
      <w:r>
        <w:rPr>
          <w:rFonts w:eastAsia="Times New Roman" w:cs="Times New Roman"/>
          <w:lang w:val="fr-FR" w:eastAsia="en-US"/>
        </w:rPr>
        <w:tab/>
        <w:t xml:space="preserve">1) </w:t>
      </w:r>
      <w:r w:rsidR="002E19CA" w:rsidRPr="002E19CA">
        <w:rPr>
          <w:rFonts w:eastAsia="Times New Roman" w:cs="Times New Roman"/>
          <w:lang w:val="fr-FR" w:eastAsia="en-US"/>
        </w:rPr>
        <w:t xml:space="preserve">soutenir les </w:t>
      </w:r>
      <w:r w:rsidR="00A05867">
        <w:rPr>
          <w:rFonts w:eastAsia="Times New Roman" w:cs="Times New Roman"/>
          <w:lang w:val="fr-FR" w:eastAsia="en-US"/>
        </w:rPr>
        <w:t>États et Territoires insulaires du Pacifique</w:t>
      </w:r>
      <w:r w:rsidR="002E19CA" w:rsidRPr="002E19CA">
        <w:rPr>
          <w:rFonts w:eastAsia="Times New Roman" w:cs="Times New Roman"/>
          <w:lang w:val="fr-FR" w:eastAsia="en-US"/>
        </w:rPr>
        <w:t xml:space="preserve"> et mener des évaluations de l'impact </w:t>
      </w:r>
      <w:r>
        <w:rPr>
          <w:rFonts w:eastAsia="Times New Roman" w:cs="Times New Roman"/>
          <w:lang w:val="fr-FR" w:eastAsia="en-US"/>
        </w:rPr>
        <w:tab/>
      </w:r>
      <w:r w:rsidR="002E19CA" w:rsidRPr="002E19CA">
        <w:rPr>
          <w:rFonts w:eastAsia="Times New Roman" w:cs="Times New Roman"/>
          <w:lang w:val="fr-FR" w:eastAsia="en-US"/>
        </w:rPr>
        <w:t xml:space="preserve">fiscal ; </w:t>
      </w:r>
    </w:p>
    <w:p w14:paraId="5D2A24E1" w14:textId="7FE3B0F2" w:rsidR="002E19CA" w:rsidRPr="002E19CA" w:rsidRDefault="008920CE" w:rsidP="00D345A0">
      <w:pPr>
        <w:rPr>
          <w:rFonts w:eastAsia="Times New Roman" w:cs="Times New Roman"/>
          <w:lang w:val="fr-FR" w:eastAsia="en-US"/>
        </w:rPr>
      </w:pPr>
      <w:r>
        <w:rPr>
          <w:rFonts w:eastAsia="Times New Roman" w:cs="Times New Roman"/>
          <w:lang w:val="fr-FR" w:eastAsia="en-US"/>
        </w:rPr>
        <w:tab/>
        <w:t xml:space="preserve">2) </w:t>
      </w:r>
      <w:r w:rsidR="002E19CA" w:rsidRPr="002E19CA">
        <w:rPr>
          <w:rFonts w:eastAsia="Times New Roman" w:cs="Times New Roman"/>
          <w:lang w:val="fr-FR" w:eastAsia="en-US"/>
        </w:rPr>
        <w:t xml:space="preserve">harmoniser la méthodologie et élaborer des modèles standards pour faciliter la </w:t>
      </w:r>
      <w:r>
        <w:rPr>
          <w:rFonts w:eastAsia="Times New Roman" w:cs="Times New Roman"/>
          <w:lang w:val="fr-FR" w:eastAsia="en-US"/>
        </w:rPr>
        <w:tab/>
      </w:r>
      <w:r w:rsidR="002E19CA" w:rsidRPr="002E19CA">
        <w:rPr>
          <w:rFonts w:eastAsia="Times New Roman" w:cs="Times New Roman"/>
          <w:lang w:val="fr-FR" w:eastAsia="en-US"/>
        </w:rPr>
        <w:t xml:space="preserve">reproduction des études pour les </w:t>
      </w:r>
      <w:r w:rsidR="00A05867">
        <w:rPr>
          <w:rFonts w:eastAsia="Times New Roman" w:cs="Times New Roman"/>
          <w:lang w:val="fr-FR" w:eastAsia="en-US"/>
        </w:rPr>
        <w:t>États et Territoires insulaires du Pacifique</w:t>
      </w:r>
      <w:r w:rsidR="002E19CA" w:rsidRPr="002E19CA">
        <w:rPr>
          <w:rFonts w:eastAsia="Times New Roman" w:cs="Times New Roman"/>
          <w:lang w:val="fr-FR" w:eastAsia="en-US"/>
        </w:rPr>
        <w:t xml:space="preserve"> ;</w:t>
      </w:r>
    </w:p>
    <w:p w14:paraId="34D5AC52" w14:textId="237F8161" w:rsidR="002E19CA" w:rsidRPr="002E19CA" w:rsidRDefault="008920CE" w:rsidP="00D345A0">
      <w:pPr>
        <w:rPr>
          <w:rFonts w:eastAsia="Times New Roman" w:cs="Times New Roman"/>
          <w:lang w:val="fr-FR" w:eastAsia="en-US"/>
        </w:rPr>
      </w:pPr>
      <w:r>
        <w:rPr>
          <w:rFonts w:eastAsia="Times New Roman" w:cs="Times New Roman"/>
          <w:lang w:val="fr-FR" w:eastAsia="en-US"/>
        </w:rPr>
        <w:tab/>
        <w:t xml:space="preserve">3) </w:t>
      </w:r>
      <w:r w:rsidR="002E19CA" w:rsidRPr="002E19CA">
        <w:rPr>
          <w:rFonts w:eastAsia="Times New Roman" w:cs="Times New Roman"/>
          <w:lang w:val="fr-FR" w:eastAsia="en-US"/>
        </w:rPr>
        <w:t xml:space="preserve">soutenir le renforcement des capacités des partenaires universitaires océaniens locaux en </w:t>
      </w:r>
      <w:r>
        <w:rPr>
          <w:rFonts w:eastAsia="Times New Roman" w:cs="Times New Roman"/>
          <w:lang w:val="fr-FR" w:eastAsia="en-US"/>
        </w:rPr>
        <w:tab/>
      </w:r>
      <w:r w:rsidR="002E19CA" w:rsidRPr="002E19CA">
        <w:rPr>
          <w:rFonts w:eastAsia="Times New Roman" w:cs="Times New Roman"/>
          <w:lang w:val="fr-FR" w:eastAsia="en-US"/>
        </w:rPr>
        <w:t>vue de procéder à des évaluations de l'impact fiscal ; et</w:t>
      </w:r>
    </w:p>
    <w:p w14:paraId="0440A4CD" w14:textId="61FE273C" w:rsidR="002E19CA" w:rsidRPr="00357A81" w:rsidRDefault="008920CE" w:rsidP="00D345A0">
      <w:pPr>
        <w:rPr>
          <w:rFonts w:eastAsia="Times New Roman" w:cs="Times New Roman"/>
          <w:lang w:val="fr-FR" w:eastAsia="en-US"/>
        </w:rPr>
      </w:pPr>
      <w:r>
        <w:rPr>
          <w:rFonts w:eastAsia="Times New Roman" w:cs="Times New Roman"/>
          <w:lang w:val="fr-FR" w:eastAsia="en-US"/>
        </w:rPr>
        <w:tab/>
        <w:t xml:space="preserve">4) </w:t>
      </w:r>
      <w:r w:rsidR="002E19CA" w:rsidRPr="00357A81">
        <w:rPr>
          <w:rFonts w:eastAsia="Times New Roman" w:cs="Times New Roman"/>
          <w:lang w:val="fr-FR" w:eastAsia="en-US"/>
        </w:rPr>
        <w:t xml:space="preserve">partager les informations sur les meilleures pratiques pour accroître l'impact des mesures </w:t>
      </w:r>
      <w:r>
        <w:rPr>
          <w:rFonts w:eastAsia="Times New Roman" w:cs="Times New Roman"/>
          <w:lang w:val="fr-FR" w:eastAsia="en-US"/>
        </w:rPr>
        <w:tab/>
      </w:r>
      <w:r w:rsidR="002E19CA" w:rsidRPr="00357A81">
        <w:rPr>
          <w:rFonts w:eastAsia="Times New Roman" w:cs="Times New Roman"/>
          <w:lang w:val="fr-FR" w:eastAsia="en-US"/>
        </w:rPr>
        <w:t xml:space="preserve">fiscales et soutenir les </w:t>
      </w:r>
      <w:r w:rsidR="00A05867">
        <w:rPr>
          <w:rFonts w:eastAsia="Times New Roman" w:cs="Times New Roman"/>
          <w:lang w:val="fr-FR" w:eastAsia="en-US"/>
        </w:rPr>
        <w:t>États et Territoires insulaires du Pacifique</w:t>
      </w:r>
      <w:r w:rsidR="002E19CA" w:rsidRPr="00357A81">
        <w:rPr>
          <w:rFonts w:eastAsia="Times New Roman" w:cs="Times New Roman"/>
          <w:lang w:val="fr-FR" w:eastAsia="en-US"/>
        </w:rPr>
        <w:t xml:space="preserve"> par des approches fiscales </w:t>
      </w:r>
      <w:r>
        <w:rPr>
          <w:rFonts w:eastAsia="Times New Roman" w:cs="Times New Roman"/>
          <w:lang w:val="fr-FR" w:eastAsia="en-US"/>
        </w:rPr>
        <w:tab/>
      </w:r>
      <w:r w:rsidR="002E19CA" w:rsidRPr="00357A81">
        <w:rPr>
          <w:rFonts w:eastAsia="Times New Roman" w:cs="Times New Roman"/>
          <w:lang w:val="fr-FR" w:eastAsia="en-US"/>
        </w:rPr>
        <w:t xml:space="preserve">planifiées. </w:t>
      </w:r>
    </w:p>
    <w:p w14:paraId="71A20A99" w14:textId="77777777" w:rsidR="00D345A0" w:rsidRDefault="00D345A0">
      <w:pPr>
        <w:spacing w:after="200" w:line="276" w:lineRule="auto"/>
        <w:jc w:val="left"/>
        <w:rPr>
          <w:rFonts w:cs="Times New Roman"/>
          <w:b/>
        </w:rPr>
      </w:pPr>
      <w:r>
        <w:rPr>
          <w:rFonts w:cs="Times New Roman"/>
          <w:b/>
        </w:rPr>
        <w:br w:type="page"/>
      </w:r>
    </w:p>
    <w:p w14:paraId="4716BA6E" w14:textId="1595D5DC" w:rsidR="0072348E" w:rsidRPr="005553D5" w:rsidRDefault="005553D5" w:rsidP="008920CE">
      <w:pPr>
        <w:pStyle w:val="BodyText2"/>
      </w:pPr>
      <w:r>
        <w:lastRenderedPageBreak/>
        <w:t>Annexe</w:t>
      </w:r>
      <w:r w:rsidRPr="005553D5">
        <w:t xml:space="preserve"> : Études d'impact des mesures fiscales en Océanie : Gros plan sur le tab</w:t>
      </w:r>
      <w:r>
        <w:t xml:space="preserve">ac, l'alcool, les BSA et autres </w:t>
      </w:r>
      <w:r w:rsidRPr="005553D5">
        <w:t>produits non essentiels, fruits et légumes</w:t>
      </w:r>
    </w:p>
    <w:tbl>
      <w:tblPr>
        <w:tblStyle w:val="TableGrid"/>
        <w:tblW w:w="10260" w:type="dxa"/>
        <w:tblInd w:w="-432" w:type="dxa"/>
        <w:tblLook w:val="04A0" w:firstRow="1" w:lastRow="0" w:firstColumn="1" w:lastColumn="0" w:noHBand="0" w:noVBand="1"/>
      </w:tblPr>
      <w:tblGrid>
        <w:gridCol w:w="1440"/>
        <w:gridCol w:w="2250"/>
        <w:gridCol w:w="4950"/>
        <w:gridCol w:w="1620"/>
      </w:tblGrid>
      <w:tr w:rsidR="008920CE" w:rsidRPr="00F62E37" w14:paraId="16850F8C" w14:textId="77777777" w:rsidTr="008E2ED8">
        <w:tc>
          <w:tcPr>
            <w:tcW w:w="1440" w:type="dxa"/>
          </w:tcPr>
          <w:p w14:paraId="4DFADB83" w14:textId="231CF0EB" w:rsidR="008920CE" w:rsidRPr="008920CE" w:rsidRDefault="008920CE" w:rsidP="00F44E5B">
            <w:pPr>
              <w:spacing w:beforeLines="40" w:before="96" w:afterLines="40" w:after="96" w:line="240" w:lineRule="auto"/>
              <w:rPr>
                <w:rFonts w:cs="Times New Roman"/>
                <w:b/>
              </w:rPr>
            </w:pPr>
            <w:proofErr w:type="spellStart"/>
            <w:r w:rsidRPr="008920CE">
              <w:rPr>
                <w:b/>
              </w:rPr>
              <w:t>Île</w:t>
            </w:r>
            <w:proofErr w:type="spellEnd"/>
            <w:r w:rsidRPr="008920CE">
              <w:rPr>
                <w:b/>
              </w:rPr>
              <w:t xml:space="preserve"> </w:t>
            </w:r>
            <w:proofErr w:type="spellStart"/>
            <w:r w:rsidRPr="008920CE">
              <w:rPr>
                <w:b/>
              </w:rPr>
              <w:t>océanienne</w:t>
            </w:r>
            <w:proofErr w:type="spellEnd"/>
          </w:p>
        </w:tc>
        <w:tc>
          <w:tcPr>
            <w:tcW w:w="2250" w:type="dxa"/>
          </w:tcPr>
          <w:p w14:paraId="2BC40A5B" w14:textId="18CC3667" w:rsidR="008920CE" w:rsidRPr="008920CE" w:rsidRDefault="008920CE" w:rsidP="00F44E5B">
            <w:pPr>
              <w:spacing w:beforeLines="40" w:before="96" w:afterLines="40" w:after="96" w:line="240" w:lineRule="auto"/>
              <w:rPr>
                <w:rFonts w:cs="Times New Roman"/>
                <w:b/>
              </w:rPr>
            </w:pPr>
            <w:proofErr w:type="spellStart"/>
            <w:r w:rsidRPr="008920CE">
              <w:rPr>
                <w:b/>
              </w:rPr>
              <w:t>Produits</w:t>
            </w:r>
            <w:proofErr w:type="spellEnd"/>
            <w:r w:rsidRPr="008920CE">
              <w:rPr>
                <w:b/>
              </w:rPr>
              <w:t xml:space="preserve"> </w:t>
            </w:r>
            <w:proofErr w:type="spellStart"/>
            <w:r w:rsidRPr="008920CE">
              <w:rPr>
                <w:b/>
              </w:rPr>
              <w:t>évalués</w:t>
            </w:r>
            <w:proofErr w:type="spellEnd"/>
          </w:p>
        </w:tc>
        <w:tc>
          <w:tcPr>
            <w:tcW w:w="4950" w:type="dxa"/>
          </w:tcPr>
          <w:p w14:paraId="1ACE0FC4" w14:textId="275D263A" w:rsidR="008920CE" w:rsidRPr="008920CE" w:rsidRDefault="008920CE" w:rsidP="00F44E5B">
            <w:pPr>
              <w:pStyle w:val="Heading9"/>
              <w:outlineLvl w:val="8"/>
              <w:rPr>
                <w:rFonts w:cs="Times New Roman"/>
              </w:rPr>
            </w:pPr>
            <w:r w:rsidRPr="008920CE">
              <w:t xml:space="preserve">Conclusions </w:t>
            </w:r>
            <w:proofErr w:type="spellStart"/>
            <w:r w:rsidRPr="008920CE">
              <w:t>générales</w:t>
            </w:r>
            <w:proofErr w:type="spellEnd"/>
          </w:p>
        </w:tc>
        <w:tc>
          <w:tcPr>
            <w:tcW w:w="1620" w:type="dxa"/>
          </w:tcPr>
          <w:p w14:paraId="6E3F8959" w14:textId="2A6DC2CD" w:rsidR="008920CE" w:rsidRPr="008920CE" w:rsidRDefault="008920CE" w:rsidP="00F44E5B">
            <w:pPr>
              <w:spacing w:beforeLines="40" w:before="96" w:afterLines="40" w:after="96" w:line="240" w:lineRule="auto"/>
              <w:rPr>
                <w:rFonts w:cs="Times New Roman"/>
                <w:b/>
              </w:rPr>
            </w:pPr>
            <w:proofErr w:type="spellStart"/>
            <w:r w:rsidRPr="008920CE">
              <w:rPr>
                <w:b/>
              </w:rPr>
              <w:t>Partenaires</w:t>
            </w:r>
            <w:proofErr w:type="spellEnd"/>
            <w:r w:rsidRPr="008920CE">
              <w:rPr>
                <w:b/>
              </w:rPr>
              <w:t xml:space="preserve"> </w:t>
            </w:r>
            <w:proofErr w:type="spellStart"/>
            <w:r w:rsidRPr="008920CE">
              <w:rPr>
                <w:b/>
              </w:rPr>
              <w:t>impliqués</w:t>
            </w:r>
            <w:proofErr w:type="spellEnd"/>
          </w:p>
        </w:tc>
      </w:tr>
      <w:tr w:rsidR="00684DAE" w:rsidRPr="00F62E37" w14:paraId="4846F0E1" w14:textId="77777777" w:rsidTr="008E2ED8">
        <w:tc>
          <w:tcPr>
            <w:tcW w:w="1440" w:type="dxa"/>
            <w:vMerge w:val="restart"/>
          </w:tcPr>
          <w:p w14:paraId="5225D3F9" w14:textId="77777777" w:rsidR="00684DAE" w:rsidRPr="007C3D52" w:rsidRDefault="00684DAE" w:rsidP="00F44E5B">
            <w:pPr>
              <w:pStyle w:val="NormalWeb"/>
              <w:spacing w:beforeLines="40" w:before="96" w:beforeAutospacing="0" w:afterLines="40" w:after="96" w:afterAutospacing="0"/>
              <w:rPr>
                <w:sz w:val="22"/>
                <w:szCs w:val="22"/>
              </w:rPr>
            </w:pPr>
            <w:proofErr w:type="spellStart"/>
            <w:r w:rsidRPr="001318A1">
              <w:t>Îles</w:t>
            </w:r>
            <w:proofErr w:type="spellEnd"/>
            <w:r w:rsidRPr="001318A1">
              <w:t xml:space="preserve"> Cook</w:t>
            </w:r>
          </w:p>
          <w:p w14:paraId="09B23D36" w14:textId="26E8F5AE" w:rsidR="00684DAE" w:rsidRPr="007C3D52" w:rsidRDefault="00684DAE" w:rsidP="00F44E5B">
            <w:pPr>
              <w:pStyle w:val="NormalWeb"/>
              <w:spacing w:beforeLines="40" w:before="96" w:beforeAutospacing="0" w:afterLines="40" w:after="96" w:afterAutospacing="0"/>
              <w:rPr>
                <w:sz w:val="22"/>
                <w:szCs w:val="22"/>
              </w:rPr>
            </w:pPr>
          </w:p>
        </w:tc>
        <w:tc>
          <w:tcPr>
            <w:tcW w:w="2250" w:type="dxa"/>
          </w:tcPr>
          <w:p w14:paraId="40C916B9" w14:textId="2567D2B2" w:rsidR="00684DAE" w:rsidRPr="007C3D52" w:rsidRDefault="00684DAE" w:rsidP="00F44E5B">
            <w:pPr>
              <w:pStyle w:val="NormalWeb"/>
              <w:spacing w:beforeLines="40" w:before="96" w:beforeAutospacing="0" w:afterLines="40" w:after="96" w:afterAutospacing="0"/>
              <w:rPr>
                <w:sz w:val="22"/>
                <w:szCs w:val="22"/>
              </w:rPr>
            </w:pPr>
            <w:r w:rsidRPr="001318A1">
              <w:t>BSA</w:t>
            </w:r>
          </w:p>
        </w:tc>
        <w:tc>
          <w:tcPr>
            <w:tcW w:w="4950" w:type="dxa"/>
          </w:tcPr>
          <w:p w14:paraId="651BA3E3" w14:textId="0721CB3B" w:rsidR="00684DAE" w:rsidRPr="00684DAE" w:rsidRDefault="00684DAE" w:rsidP="00F44E5B">
            <w:pPr>
              <w:pStyle w:val="NormalWeb"/>
              <w:spacing w:beforeLines="40" w:before="96" w:beforeAutospacing="0" w:afterLines="40" w:after="96" w:afterAutospacing="0"/>
              <w:ind w:right="69"/>
              <w:rPr>
                <w:color w:val="000000"/>
                <w:sz w:val="22"/>
                <w:szCs w:val="22"/>
                <w:lang w:val="fr-FR"/>
              </w:rPr>
            </w:pPr>
            <w:r w:rsidRPr="00684DAE">
              <w:rPr>
                <w:lang w:val="fr-FR"/>
              </w:rPr>
              <w:t xml:space="preserve">Baisse des importations de BSA et augmentation en valeur importée suite aux augmentations de taxes en 2013 (15 % ad valorem) et en 2014 (20 % d'augmentation et passage à la taxe d'accise). </w:t>
            </w:r>
          </w:p>
        </w:tc>
        <w:tc>
          <w:tcPr>
            <w:tcW w:w="1620" w:type="dxa"/>
          </w:tcPr>
          <w:p w14:paraId="5B7590F5" w14:textId="367E50A7" w:rsidR="00684DAE" w:rsidRPr="007C3D52" w:rsidRDefault="00684DAE" w:rsidP="00F44E5B">
            <w:pPr>
              <w:pStyle w:val="NormalWeb"/>
              <w:spacing w:beforeLines="40" w:before="96" w:beforeAutospacing="0" w:afterLines="40" w:after="96" w:afterAutospacing="0"/>
              <w:rPr>
                <w:color w:val="000000" w:themeColor="dark1"/>
                <w:kern w:val="24"/>
                <w:sz w:val="22"/>
                <w:szCs w:val="22"/>
                <w:lang w:val="en-US"/>
              </w:rPr>
            </w:pPr>
            <w:r w:rsidRPr="001318A1">
              <w:t xml:space="preserve">FNU–C-POND </w:t>
            </w:r>
          </w:p>
        </w:tc>
      </w:tr>
      <w:tr w:rsidR="00684DAE" w:rsidRPr="00684DAE" w14:paraId="6A3DD4AB" w14:textId="77777777" w:rsidTr="008E2ED8">
        <w:tc>
          <w:tcPr>
            <w:tcW w:w="1440" w:type="dxa"/>
            <w:vMerge/>
          </w:tcPr>
          <w:p w14:paraId="6493B477" w14:textId="77777777" w:rsidR="00684DAE" w:rsidRPr="007C3D52" w:rsidRDefault="00684DAE" w:rsidP="00F44E5B">
            <w:pPr>
              <w:pStyle w:val="NormalWeb"/>
              <w:spacing w:beforeLines="40" w:before="96" w:beforeAutospacing="0" w:afterLines="40" w:after="96" w:afterAutospacing="0"/>
              <w:rPr>
                <w:color w:val="000000" w:themeColor="dark1"/>
                <w:kern w:val="24"/>
                <w:sz w:val="22"/>
                <w:szCs w:val="22"/>
                <w:lang w:val="en-US"/>
              </w:rPr>
            </w:pPr>
          </w:p>
        </w:tc>
        <w:tc>
          <w:tcPr>
            <w:tcW w:w="2250" w:type="dxa"/>
          </w:tcPr>
          <w:p w14:paraId="117F1313" w14:textId="4B571C21" w:rsidR="00684DAE" w:rsidRPr="007C3D52" w:rsidRDefault="00684DAE" w:rsidP="00F44E5B">
            <w:pPr>
              <w:pStyle w:val="NormalWeb"/>
              <w:spacing w:beforeLines="40" w:before="96" w:beforeAutospacing="0" w:afterLines="40" w:after="96" w:afterAutospacing="0"/>
              <w:rPr>
                <w:rFonts w:eastAsiaTheme="minorEastAsia"/>
                <w:color w:val="000000" w:themeColor="dark1"/>
                <w:kern w:val="24"/>
                <w:sz w:val="22"/>
                <w:szCs w:val="22"/>
              </w:rPr>
            </w:pPr>
            <w:proofErr w:type="spellStart"/>
            <w:r w:rsidRPr="001318A1">
              <w:t>Tabac</w:t>
            </w:r>
            <w:proofErr w:type="spellEnd"/>
          </w:p>
        </w:tc>
        <w:tc>
          <w:tcPr>
            <w:tcW w:w="4950" w:type="dxa"/>
          </w:tcPr>
          <w:p w14:paraId="7017073B" w14:textId="7BCD3A61" w:rsidR="00684DAE" w:rsidRPr="00684DAE" w:rsidRDefault="00634755" w:rsidP="00F44E5B">
            <w:pPr>
              <w:pStyle w:val="NormalWeb"/>
              <w:spacing w:beforeLines="40" w:before="96" w:beforeAutospacing="0" w:afterLines="40" w:after="96" w:afterAutospacing="0"/>
              <w:ind w:left="615" w:right="69"/>
              <w:rPr>
                <w:sz w:val="22"/>
                <w:szCs w:val="22"/>
                <w:lang w:val="fr-FR"/>
              </w:rPr>
            </w:pPr>
            <w:r w:rsidRPr="00684DAE">
              <w:rPr>
                <w:lang w:val="fr-FR"/>
              </w:rPr>
              <w:t>Un examen des augmentations de taxes sur le tabac en 2012, 2013 et 2014:</w:t>
            </w:r>
          </w:p>
          <w:p w14:paraId="5F08D486" w14:textId="77777777" w:rsidR="00684DAE" w:rsidRPr="00684DAE" w:rsidRDefault="00684DAE" w:rsidP="00F44E5B">
            <w:pPr>
              <w:pStyle w:val="NormalWeb"/>
              <w:numPr>
                <w:ilvl w:val="0"/>
                <w:numId w:val="4"/>
              </w:numPr>
              <w:spacing w:beforeLines="40" w:before="96" w:beforeAutospacing="0" w:afterLines="40" w:after="96" w:afterAutospacing="0"/>
              <w:ind w:right="69"/>
              <w:rPr>
                <w:sz w:val="22"/>
                <w:szCs w:val="22"/>
                <w:lang w:val="fr-FR"/>
              </w:rPr>
            </w:pPr>
            <w:r w:rsidRPr="00684DAE">
              <w:rPr>
                <w:sz w:val="22"/>
                <w:szCs w:val="22"/>
                <w:lang w:val="fr-FR"/>
              </w:rPr>
              <w:t>Entre NZ$ 2 millions et NZ$ 2,6 millions (ou 2,1-2,7 % du total de recettes fiscales perçues par le gouvernement des Îles Cook en 2013-2014) de pertes de recettes fiscales résultant de l'accaparement.</w:t>
            </w:r>
          </w:p>
          <w:p w14:paraId="0464AAF5" w14:textId="70CDFF67" w:rsidR="00684DAE" w:rsidRPr="00684DAE" w:rsidRDefault="00684DAE" w:rsidP="00F44E5B">
            <w:pPr>
              <w:pStyle w:val="NormalWeb"/>
              <w:numPr>
                <w:ilvl w:val="0"/>
                <w:numId w:val="4"/>
              </w:numPr>
              <w:spacing w:beforeLines="40" w:before="96" w:beforeAutospacing="0" w:afterLines="40" w:after="96" w:afterAutospacing="0"/>
              <w:ind w:right="69"/>
              <w:rPr>
                <w:sz w:val="22"/>
                <w:szCs w:val="22"/>
                <w:lang w:val="fr-FR"/>
              </w:rPr>
            </w:pPr>
            <w:r w:rsidRPr="00684DAE">
              <w:rPr>
                <w:sz w:val="22"/>
                <w:szCs w:val="22"/>
                <w:lang w:val="fr-FR"/>
              </w:rPr>
              <w:t xml:space="preserve">Envisager d'appliquer des mesures pour empêcher qu'à l'annonce d'un changement de taxe, ne </w:t>
            </w:r>
            <w:proofErr w:type="gramStart"/>
            <w:r w:rsidRPr="00684DAE">
              <w:rPr>
                <w:sz w:val="22"/>
                <w:szCs w:val="22"/>
                <w:lang w:val="fr-FR"/>
              </w:rPr>
              <w:t>soient</w:t>
            </w:r>
            <w:proofErr w:type="gramEnd"/>
            <w:r w:rsidRPr="00684DAE">
              <w:rPr>
                <w:sz w:val="22"/>
                <w:szCs w:val="22"/>
                <w:lang w:val="fr-FR"/>
              </w:rPr>
              <w:t xml:space="preserve"> utilisées l'accaparement et toute autre tactique qui font obstacle aux possibles impacts d'une augmentation de taxes</w:t>
            </w:r>
          </w:p>
        </w:tc>
        <w:tc>
          <w:tcPr>
            <w:tcW w:w="1620" w:type="dxa"/>
          </w:tcPr>
          <w:p w14:paraId="24FF1E65" w14:textId="06C7CF73" w:rsidR="00684DAE" w:rsidRPr="00684DAE" w:rsidRDefault="00684DAE" w:rsidP="00F44E5B">
            <w:pPr>
              <w:pStyle w:val="NormalWeb"/>
              <w:spacing w:beforeLines="40" w:before="96" w:beforeAutospacing="0" w:afterLines="40" w:after="96" w:afterAutospacing="0"/>
              <w:rPr>
                <w:color w:val="000000" w:themeColor="dark1"/>
                <w:kern w:val="24"/>
                <w:sz w:val="22"/>
                <w:szCs w:val="22"/>
                <w:lang w:val="fr-FR"/>
              </w:rPr>
            </w:pPr>
            <w:r w:rsidRPr="00684DAE">
              <w:rPr>
                <w:color w:val="000000" w:themeColor="dark1"/>
                <w:kern w:val="24"/>
                <w:sz w:val="22"/>
                <w:szCs w:val="22"/>
                <w:lang w:val="fr-FR"/>
              </w:rPr>
              <w:t>OMS</w:t>
            </w:r>
          </w:p>
        </w:tc>
      </w:tr>
      <w:tr w:rsidR="00684DAE" w:rsidRPr="00F62E37" w14:paraId="39F2B2E6" w14:textId="77777777" w:rsidTr="008E2ED8">
        <w:tc>
          <w:tcPr>
            <w:tcW w:w="1440" w:type="dxa"/>
            <w:vMerge w:val="restart"/>
          </w:tcPr>
          <w:p w14:paraId="61148500" w14:textId="731C8706" w:rsidR="00684DAE" w:rsidRPr="007C3D52" w:rsidRDefault="00684DAE" w:rsidP="00F44E5B">
            <w:pPr>
              <w:pStyle w:val="NormalWeb"/>
              <w:spacing w:beforeLines="40" w:before="96" w:beforeAutospacing="0" w:afterLines="40" w:after="96" w:afterAutospacing="0"/>
              <w:rPr>
                <w:sz w:val="22"/>
                <w:szCs w:val="22"/>
              </w:rPr>
            </w:pPr>
            <w:proofErr w:type="spellStart"/>
            <w:r w:rsidRPr="00684DAE">
              <w:rPr>
                <w:color w:val="000000" w:themeColor="dark1"/>
                <w:kern w:val="24"/>
                <w:sz w:val="22"/>
                <w:szCs w:val="22"/>
                <w:lang w:val="en-US"/>
              </w:rPr>
              <w:t>Fidji</w:t>
            </w:r>
            <w:proofErr w:type="spellEnd"/>
          </w:p>
        </w:tc>
        <w:tc>
          <w:tcPr>
            <w:tcW w:w="2250" w:type="dxa"/>
          </w:tcPr>
          <w:p w14:paraId="4DC3548A" w14:textId="0EC6E760" w:rsidR="00684DAE" w:rsidRPr="007C3D52" w:rsidRDefault="00684DAE" w:rsidP="00F44E5B">
            <w:pPr>
              <w:pStyle w:val="NormalWeb"/>
              <w:spacing w:beforeLines="40" w:before="96" w:beforeAutospacing="0" w:afterLines="40" w:after="96" w:afterAutospacing="0"/>
              <w:rPr>
                <w:sz w:val="22"/>
                <w:szCs w:val="22"/>
              </w:rPr>
            </w:pPr>
            <w:r w:rsidRPr="002C1EEC">
              <w:t xml:space="preserve">Fruits et </w:t>
            </w:r>
            <w:proofErr w:type="spellStart"/>
            <w:r w:rsidRPr="002C1EEC">
              <w:t>légumes</w:t>
            </w:r>
            <w:proofErr w:type="spellEnd"/>
          </w:p>
        </w:tc>
        <w:tc>
          <w:tcPr>
            <w:tcW w:w="4950" w:type="dxa"/>
          </w:tcPr>
          <w:p w14:paraId="5ABED873" w14:textId="2FC7E7DB" w:rsidR="00684DAE" w:rsidRPr="00684DAE" w:rsidRDefault="00684DAE" w:rsidP="00F44E5B">
            <w:pPr>
              <w:pStyle w:val="NormalWeb"/>
              <w:spacing w:beforeLines="40" w:before="96" w:beforeAutospacing="0" w:afterLines="40" w:after="96" w:afterAutospacing="0"/>
              <w:ind w:right="69"/>
              <w:rPr>
                <w:sz w:val="22"/>
                <w:szCs w:val="22"/>
                <w:lang w:val="fr-FR"/>
              </w:rPr>
            </w:pPr>
            <w:r w:rsidRPr="00684DAE">
              <w:rPr>
                <w:lang w:val="fr-FR"/>
              </w:rPr>
              <w:t>Augmentation du volume importé à la suite d'une baisse des taxes.</w:t>
            </w:r>
          </w:p>
        </w:tc>
        <w:tc>
          <w:tcPr>
            <w:tcW w:w="1620" w:type="dxa"/>
            <w:vMerge w:val="restart"/>
          </w:tcPr>
          <w:p w14:paraId="6682909D" w14:textId="77777777" w:rsidR="00684DAE" w:rsidRPr="007C3D52" w:rsidRDefault="00684DAE" w:rsidP="00F44E5B">
            <w:pPr>
              <w:pStyle w:val="NormalWeb"/>
              <w:spacing w:beforeLines="40" w:before="96" w:beforeAutospacing="0" w:afterLines="40" w:after="96" w:afterAutospacing="0"/>
              <w:rPr>
                <w:sz w:val="22"/>
                <w:szCs w:val="22"/>
              </w:rPr>
            </w:pPr>
            <w:r w:rsidRPr="007C3D52">
              <w:rPr>
                <w:color w:val="000000" w:themeColor="dark1"/>
                <w:kern w:val="24"/>
                <w:sz w:val="22"/>
                <w:szCs w:val="22"/>
                <w:lang w:val="en-US"/>
              </w:rPr>
              <w:t xml:space="preserve">C-POND </w:t>
            </w:r>
          </w:p>
        </w:tc>
      </w:tr>
      <w:tr w:rsidR="00684DAE" w:rsidRPr="00684DAE" w14:paraId="77FA22B9" w14:textId="77777777" w:rsidTr="008E2ED8">
        <w:tc>
          <w:tcPr>
            <w:tcW w:w="1440" w:type="dxa"/>
            <w:vMerge/>
          </w:tcPr>
          <w:p w14:paraId="2EC5EF8E" w14:textId="77777777" w:rsidR="00684DAE" w:rsidRPr="007C3D52" w:rsidRDefault="00684DAE" w:rsidP="00F44E5B">
            <w:pPr>
              <w:pStyle w:val="NormalWeb"/>
              <w:spacing w:beforeLines="40" w:before="96" w:beforeAutospacing="0" w:afterLines="40" w:after="96" w:afterAutospacing="0"/>
              <w:rPr>
                <w:color w:val="000000" w:themeColor="dark1"/>
                <w:kern w:val="24"/>
                <w:sz w:val="22"/>
                <w:szCs w:val="22"/>
                <w:lang w:val="en-US"/>
              </w:rPr>
            </w:pPr>
          </w:p>
        </w:tc>
        <w:tc>
          <w:tcPr>
            <w:tcW w:w="2250" w:type="dxa"/>
          </w:tcPr>
          <w:p w14:paraId="7A83F7CB" w14:textId="43A11A3D" w:rsidR="00684DAE" w:rsidRPr="007C3D52" w:rsidRDefault="00684DAE" w:rsidP="00F44E5B">
            <w:pPr>
              <w:pStyle w:val="NormalWeb"/>
              <w:spacing w:beforeLines="40" w:before="96" w:beforeAutospacing="0" w:afterLines="40" w:after="96" w:afterAutospacing="0"/>
              <w:rPr>
                <w:color w:val="000000" w:themeColor="dark1"/>
                <w:kern w:val="24"/>
                <w:sz w:val="22"/>
                <w:szCs w:val="22"/>
                <w:lang w:val="en-US"/>
              </w:rPr>
            </w:pPr>
            <w:r w:rsidRPr="002C1EEC">
              <w:t>MSG</w:t>
            </w:r>
          </w:p>
        </w:tc>
        <w:tc>
          <w:tcPr>
            <w:tcW w:w="4950" w:type="dxa"/>
          </w:tcPr>
          <w:p w14:paraId="33C62573" w14:textId="30B4E558" w:rsidR="00684DAE" w:rsidRPr="00684DAE" w:rsidRDefault="00684DAE" w:rsidP="00F44E5B">
            <w:pPr>
              <w:pStyle w:val="NormalWeb"/>
              <w:spacing w:beforeLines="40" w:before="96" w:beforeAutospacing="0" w:afterLines="40" w:after="96" w:afterAutospacing="0"/>
              <w:ind w:right="69"/>
              <w:rPr>
                <w:sz w:val="22"/>
                <w:szCs w:val="22"/>
                <w:lang w:val="fr-FR"/>
              </w:rPr>
            </w:pPr>
            <w:r w:rsidRPr="00684DAE">
              <w:rPr>
                <w:lang w:val="fr-FR"/>
              </w:rPr>
              <w:t>Aucun changement en volume importé suite à une augmentation des taxes.</w:t>
            </w:r>
          </w:p>
        </w:tc>
        <w:tc>
          <w:tcPr>
            <w:tcW w:w="1620" w:type="dxa"/>
            <w:vMerge/>
          </w:tcPr>
          <w:p w14:paraId="53978C9C" w14:textId="77777777" w:rsidR="00684DAE" w:rsidRPr="00684DAE" w:rsidRDefault="00684DAE" w:rsidP="00F44E5B">
            <w:pPr>
              <w:pStyle w:val="NormalWeb"/>
              <w:spacing w:beforeLines="40" w:before="96" w:beforeAutospacing="0" w:afterLines="40" w:after="96" w:afterAutospacing="0"/>
              <w:rPr>
                <w:color w:val="000000" w:themeColor="dark1"/>
                <w:kern w:val="24"/>
                <w:sz w:val="22"/>
                <w:szCs w:val="22"/>
                <w:lang w:val="fr-FR"/>
              </w:rPr>
            </w:pPr>
          </w:p>
        </w:tc>
      </w:tr>
      <w:tr w:rsidR="00684DAE" w:rsidRPr="00684DAE" w14:paraId="44DDEA3C" w14:textId="77777777" w:rsidTr="008E2ED8">
        <w:tc>
          <w:tcPr>
            <w:tcW w:w="1440" w:type="dxa"/>
            <w:vMerge/>
          </w:tcPr>
          <w:p w14:paraId="5212FC2E" w14:textId="77777777" w:rsidR="00684DAE" w:rsidRPr="00684DAE" w:rsidRDefault="00684DAE" w:rsidP="00F44E5B">
            <w:pPr>
              <w:pStyle w:val="NormalWeb"/>
              <w:spacing w:beforeLines="40" w:before="96" w:beforeAutospacing="0" w:afterLines="40" w:after="96" w:afterAutospacing="0"/>
              <w:rPr>
                <w:color w:val="000000" w:themeColor="dark1"/>
                <w:kern w:val="24"/>
                <w:sz w:val="22"/>
                <w:szCs w:val="22"/>
                <w:lang w:val="fr-FR"/>
              </w:rPr>
            </w:pPr>
          </w:p>
        </w:tc>
        <w:tc>
          <w:tcPr>
            <w:tcW w:w="2250" w:type="dxa"/>
          </w:tcPr>
          <w:p w14:paraId="3D615CFC" w14:textId="27676AEA" w:rsidR="00684DAE" w:rsidRPr="007C3D52" w:rsidRDefault="00684DAE" w:rsidP="00F44E5B">
            <w:pPr>
              <w:pStyle w:val="NormalWeb"/>
              <w:spacing w:beforeLines="40" w:before="96" w:beforeAutospacing="0" w:afterLines="40" w:after="96" w:afterAutospacing="0"/>
              <w:rPr>
                <w:color w:val="000000" w:themeColor="dark1"/>
                <w:kern w:val="24"/>
                <w:sz w:val="22"/>
                <w:szCs w:val="22"/>
                <w:lang w:val="en-US"/>
              </w:rPr>
            </w:pPr>
            <w:proofErr w:type="spellStart"/>
            <w:r w:rsidRPr="002C1EEC">
              <w:t>Huile</w:t>
            </w:r>
            <w:proofErr w:type="spellEnd"/>
            <w:r w:rsidRPr="002C1EEC">
              <w:t xml:space="preserve"> de </w:t>
            </w:r>
            <w:proofErr w:type="spellStart"/>
            <w:r w:rsidRPr="002C1EEC">
              <w:t>palme</w:t>
            </w:r>
            <w:proofErr w:type="spellEnd"/>
          </w:p>
        </w:tc>
        <w:tc>
          <w:tcPr>
            <w:tcW w:w="4950" w:type="dxa"/>
          </w:tcPr>
          <w:p w14:paraId="5B38F514" w14:textId="7757C5A3" w:rsidR="00684DAE" w:rsidRPr="00684DAE" w:rsidRDefault="00684DAE" w:rsidP="00F44E5B">
            <w:pPr>
              <w:pStyle w:val="NormalWeb"/>
              <w:spacing w:beforeLines="40" w:before="96" w:beforeAutospacing="0" w:afterLines="40" w:after="96" w:afterAutospacing="0"/>
              <w:ind w:right="69"/>
              <w:rPr>
                <w:sz w:val="22"/>
                <w:szCs w:val="22"/>
                <w:u w:val="single"/>
                <w:lang w:val="fr-FR"/>
              </w:rPr>
            </w:pPr>
            <w:r w:rsidRPr="00684DAE">
              <w:rPr>
                <w:lang w:val="fr-FR"/>
              </w:rPr>
              <w:t>Baisse du volume importé suite à une augmentation de taxes ; toutefois, davantage de recherche est nécessaire afin de déterminer si une augmentation des prix et une baisse du volume importé et des ventes se traduirait par une baisse de la consommation des graisses saturées chez l'ensemble de la population.</w:t>
            </w:r>
          </w:p>
        </w:tc>
        <w:tc>
          <w:tcPr>
            <w:tcW w:w="1620" w:type="dxa"/>
            <w:vMerge/>
          </w:tcPr>
          <w:p w14:paraId="331EEFAF" w14:textId="77777777" w:rsidR="00684DAE" w:rsidRPr="00684DAE" w:rsidRDefault="00684DAE" w:rsidP="00F44E5B">
            <w:pPr>
              <w:pStyle w:val="NormalWeb"/>
              <w:spacing w:beforeLines="40" w:before="96" w:beforeAutospacing="0" w:afterLines="40" w:after="96" w:afterAutospacing="0"/>
              <w:rPr>
                <w:color w:val="000000" w:themeColor="dark1"/>
                <w:kern w:val="24"/>
                <w:sz w:val="22"/>
                <w:szCs w:val="22"/>
                <w:lang w:val="fr-FR"/>
              </w:rPr>
            </w:pPr>
          </w:p>
        </w:tc>
      </w:tr>
      <w:tr w:rsidR="0072348E" w:rsidRPr="00F62E37" w14:paraId="34C03DAC" w14:textId="77777777" w:rsidTr="008E2ED8">
        <w:tc>
          <w:tcPr>
            <w:tcW w:w="1440" w:type="dxa"/>
          </w:tcPr>
          <w:p w14:paraId="106FDB96" w14:textId="39960EAC" w:rsidR="0072348E" w:rsidRPr="004274E1" w:rsidRDefault="00684DAE" w:rsidP="00F44E5B">
            <w:pPr>
              <w:pStyle w:val="NormalWeb"/>
              <w:spacing w:beforeLines="40" w:before="96" w:beforeAutospacing="0" w:afterLines="40" w:after="96" w:afterAutospacing="0"/>
              <w:rPr>
                <w:sz w:val="22"/>
                <w:szCs w:val="22"/>
              </w:rPr>
            </w:pPr>
            <w:proofErr w:type="spellStart"/>
            <w:r w:rsidRPr="00684DAE">
              <w:rPr>
                <w:color w:val="000000" w:themeColor="dark1"/>
                <w:kern w:val="24"/>
                <w:sz w:val="22"/>
                <w:szCs w:val="22"/>
                <w:lang w:val="en-US"/>
              </w:rPr>
              <w:t>Fidji</w:t>
            </w:r>
            <w:proofErr w:type="spellEnd"/>
          </w:p>
        </w:tc>
        <w:tc>
          <w:tcPr>
            <w:tcW w:w="2250" w:type="dxa"/>
          </w:tcPr>
          <w:p w14:paraId="6E7C40C6" w14:textId="13CF6204" w:rsidR="00684DAE" w:rsidRPr="00684DAE" w:rsidRDefault="00684DAE" w:rsidP="00F44E5B">
            <w:pPr>
              <w:pStyle w:val="NormalWeb"/>
              <w:spacing w:beforeLines="40" w:before="96" w:beforeAutospacing="0" w:afterLines="40" w:after="96" w:afterAutospacing="0"/>
              <w:rPr>
                <w:kern w:val="24"/>
                <w:sz w:val="22"/>
                <w:szCs w:val="22"/>
                <w:lang w:val="fr-FR"/>
              </w:rPr>
            </w:pPr>
            <w:r w:rsidRPr="00684DAE">
              <w:rPr>
                <w:kern w:val="24"/>
                <w:sz w:val="22"/>
                <w:szCs w:val="22"/>
                <w:lang w:val="fr-FR"/>
              </w:rPr>
              <w:t>Viande transformée</w:t>
            </w:r>
          </w:p>
          <w:p w14:paraId="2FCDEF21" w14:textId="77777777" w:rsidR="00684DAE" w:rsidRPr="00684DAE" w:rsidRDefault="00684DAE" w:rsidP="00F44E5B">
            <w:pPr>
              <w:pStyle w:val="NormalWeb"/>
              <w:spacing w:beforeLines="40" w:before="96" w:beforeAutospacing="0" w:afterLines="40" w:after="96" w:afterAutospacing="0"/>
              <w:rPr>
                <w:kern w:val="24"/>
                <w:sz w:val="22"/>
                <w:szCs w:val="22"/>
                <w:lang w:val="fr-FR"/>
              </w:rPr>
            </w:pPr>
            <w:r w:rsidRPr="00684DAE">
              <w:rPr>
                <w:kern w:val="24"/>
                <w:sz w:val="22"/>
                <w:szCs w:val="22"/>
                <w:lang w:val="fr-FR"/>
              </w:rPr>
              <w:t>Confiseries</w:t>
            </w:r>
          </w:p>
          <w:p w14:paraId="0A5BA0EE" w14:textId="77777777" w:rsidR="00684DAE" w:rsidRPr="00684DAE" w:rsidRDefault="00684DAE" w:rsidP="00F44E5B">
            <w:pPr>
              <w:pStyle w:val="NormalWeb"/>
              <w:spacing w:beforeLines="40" w:before="96" w:beforeAutospacing="0" w:afterLines="40" w:after="96" w:afterAutospacing="0"/>
              <w:rPr>
                <w:kern w:val="24"/>
                <w:sz w:val="22"/>
                <w:szCs w:val="22"/>
                <w:lang w:val="fr-FR"/>
              </w:rPr>
            </w:pPr>
            <w:r w:rsidRPr="00684DAE">
              <w:rPr>
                <w:kern w:val="24"/>
                <w:sz w:val="22"/>
                <w:szCs w:val="22"/>
                <w:lang w:val="fr-FR"/>
              </w:rPr>
              <w:t xml:space="preserve">Sucre </w:t>
            </w:r>
          </w:p>
          <w:p w14:paraId="78397910" w14:textId="4CBDBDE5" w:rsidR="00684DAE" w:rsidRPr="00684DAE" w:rsidRDefault="00684DAE" w:rsidP="00F44E5B">
            <w:pPr>
              <w:pStyle w:val="NormalWeb"/>
              <w:tabs>
                <w:tab w:val="center" w:pos="1017"/>
              </w:tabs>
              <w:spacing w:beforeLines="40" w:before="96" w:beforeAutospacing="0" w:afterLines="40" w:after="96" w:afterAutospacing="0"/>
              <w:rPr>
                <w:kern w:val="24"/>
                <w:sz w:val="22"/>
                <w:szCs w:val="22"/>
                <w:lang w:val="fr-FR"/>
              </w:rPr>
            </w:pPr>
            <w:r w:rsidRPr="00684DAE">
              <w:rPr>
                <w:kern w:val="24"/>
                <w:sz w:val="22"/>
                <w:szCs w:val="22"/>
                <w:lang w:val="fr-FR"/>
              </w:rPr>
              <w:t>Jus</w:t>
            </w:r>
            <w:r>
              <w:rPr>
                <w:kern w:val="24"/>
                <w:sz w:val="22"/>
                <w:szCs w:val="22"/>
                <w:lang w:val="fr-FR"/>
              </w:rPr>
              <w:tab/>
            </w:r>
          </w:p>
          <w:p w14:paraId="4FE65A44" w14:textId="77777777" w:rsidR="00684DAE" w:rsidRPr="00684DAE" w:rsidRDefault="00684DAE" w:rsidP="00F44E5B">
            <w:pPr>
              <w:pStyle w:val="NormalWeb"/>
              <w:spacing w:beforeLines="40" w:before="96" w:beforeAutospacing="0" w:afterLines="40" w:after="96" w:afterAutospacing="0"/>
              <w:rPr>
                <w:kern w:val="24"/>
                <w:sz w:val="22"/>
                <w:szCs w:val="22"/>
                <w:lang w:val="en-US"/>
              </w:rPr>
            </w:pPr>
            <w:proofErr w:type="spellStart"/>
            <w:r w:rsidRPr="00684DAE">
              <w:rPr>
                <w:kern w:val="24"/>
                <w:sz w:val="22"/>
                <w:szCs w:val="22"/>
                <w:lang w:val="en-US"/>
              </w:rPr>
              <w:t>En-cas</w:t>
            </w:r>
            <w:proofErr w:type="spellEnd"/>
          </w:p>
          <w:p w14:paraId="5321BB7E" w14:textId="77777777" w:rsidR="00684DAE" w:rsidRPr="00684DAE" w:rsidRDefault="00684DAE" w:rsidP="00F44E5B">
            <w:pPr>
              <w:pStyle w:val="NormalWeb"/>
              <w:spacing w:beforeLines="40" w:before="96" w:beforeAutospacing="0" w:afterLines="40" w:after="96" w:afterAutospacing="0"/>
              <w:rPr>
                <w:kern w:val="24"/>
                <w:sz w:val="22"/>
                <w:szCs w:val="22"/>
                <w:lang w:val="en-US"/>
              </w:rPr>
            </w:pPr>
            <w:r w:rsidRPr="00684DAE">
              <w:rPr>
                <w:kern w:val="24"/>
                <w:sz w:val="22"/>
                <w:szCs w:val="22"/>
                <w:lang w:val="en-US"/>
              </w:rPr>
              <w:t xml:space="preserve">BSA </w:t>
            </w:r>
          </w:p>
          <w:p w14:paraId="218825A1" w14:textId="5022B3FA" w:rsidR="0072348E" w:rsidRPr="004274E1" w:rsidRDefault="00684DAE" w:rsidP="00F44E5B">
            <w:pPr>
              <w:pStyle w:val="NormalWeb"/>
              <w:spacing w:beforeLines="40" w:before="96" w:beforeAutospacing="0" w:afterLines="40" w:after="96" w:afterAutospacing="0"/>
              <w:rPr>
                <w:sz w:val="22"/>
                <w:szCs w:val="22"/>
              </w:rPr>
            </w:pPr>
            <w:proofErr w:type="spellStart"/>
            <w:r w:rsidRPr="00684DAE">
              <w:rPr>
                <w:kern w:val="24"/>
                <w:sz w:val="22"/>
                <w:szCs w:val="22"/>
                <w:lang w:val="en-US"/>
              </w:rPr>
              <w:t>Viande</w:t>
            </w:r>
            <w:proofErr w:type="spellEnd"/>
            <w:r w:rsidRPr="00684DAE">
              <w:rPr>
                <w:kern w:val="24"/>
                <w:sz w:val="22"/>
                <w:szCs w:val="22"/>
                <w:lang w:val="en-US"/>
              </w:rPr>
              <w:t xml:space="preserve"> </w:t>
            </w:r>
            <w:proofErr w:type="spellStart"/>
            <w:r w:rsidRPr="00684DAE">
              <w:rPr>
                <w:kern w:val="24"/>
                <w:sz w:val="22"/>
                <w:szCs w:val="22"/>
                <w:lang w:val="en-US"/>
              </w:rPr>
              <w:t>grasse</w:t>
            </w:r>
            <w:proofErr w:type="spellEnd"/>
            <w:r w:rsidRPr="00684DAE">
              <w:rPr>
                <w:kern w:val="24"/>
                <w:sz w:val="22"/>
                <w:szCs w:val="22"/>
                <w:lang w:val="en-US"/>
              </w:rPr>
              <w:t xml:space="preserve"> </w:t>
            </w:r>
          </w:p>
        </w:tc>
        <w:tc>
          <w:tcPr>
            <w:tcW w:w="4950" w:type="dxa"/>
          </w:tcPr>
          <w:p w14:paraId="500DE4EC" w14:textId="77777777" w:rsidR="00B546D0" w:rsidRPr="00B546D0" w:rsidRDefault="00B546D0" w:rsidP="00F44E5B">
            <w:pPr>
              <w:suppressAutoHyphens/>
              <w:spacing w:beforeLines="40" w:before="96" w:afterLines="40" w:after="96" w:line="240" w:lineRule="auto"/>
              <w:ind w:right="69"/>
              <w:rPr>
                <w:rFonts w:cs="Times New Roman"/>
                <w:u w:val="single"/>
                <w:lang w:val="fr-FR"/>
              </w:rPr>
            </w:pPr>
            <w:r w:rsidRPr="00B546D0">
              <w:rPr>
                <w:rFonts w:cs="Times New Roman"/>
                <w:u w:val="single"/>
                <w:lang w:val="fr-FR"/>
              </w:rPr>
              <w:t>Divers</w:t>
            </w:r>
          </w:p>
          <w:p w14:paraId="401424E6" w14:textId="77777777" w:rsidR="00B546D0" w:rsidRPr="00B546D0" w:rsidRDefault="00B546D0" w:rsidP="00F44E5B">
            <w:pPr>
              <w:suppressAutoHyphens/>
              <w:spacing w:beforeLines="40" w:before="96" w:afterLines="40" w:after="96" w:line="240" w:lineRule="auto"/>
              <w:ind w:right="69"/>
              <w:rPr>
                <w:rFonts w:cs="Times New Roman"/>
                <w:lang w:val="fr-FR"/>
              </w:rPr>
            </w:pPr>
            <w:r w:rsidRPr="00B546D0">
              <w:rPr>
                <w:rFonts w:cs="Times New Roman"/>
                <w:lang w:val="fr-FR"/>
              </w:rPr>
              <w:t>Les estimations pour une consommation réduite suite aux taxes appliquées aux produits non essentiels (avec une fourchette pour permettre la prise en compte des substitutions) ont montré :</w:t>
            </w:r>
          </w:p>
          <w:p w14:paraId="5FD86C5C" w14:textId="77777777" w:rsidR="00B546D0" w:rsidRPr="00B546D0" w:rsidRDefault="00B546D0" w:rsidP="00F44E5B">
            <w:pPr>
              <w:suppressAutoHyphens/>
              <w:spacing w:beforeLines="40" w:before="96" w:afterLines="40" w:after="96" w:line="240" w:lineRule="auto"/>
              <w:ind w:right="69"/>
              <w:rPr>
                <w:rFonts w:cs="Times New Roman"/>
                <w:lang w:val="fr-FR"/>
              </w:rPr>
            </w:pPr>
            <w:r w:rsidRPr="00B546D0">
              <w:rPr>
                <w:rFonts w:cs="Times New Roman"/>
                <w:lang w:val="fr-FR"/>
              </w:rPr>
              <w:t xml:space="preserve">20 % taxes : réduction de 2 à 4 % des calories </w:t>
            </w:r>
          </w:p>
          <w:p w14:paraId="0CC1F957" w14:textId="77777777" w:rsidR="00B546D0" w:rsidRPr="00B546D0" w:rsidRDefault="00B546D0" w:rsidP="00F44E5B">
            <w:pPr>
              <w:suppressAutoHyphens/>
              <w:spacing w:beforeLines="40" w:before="96" w:afterLines="40" w:after="96" w:line="240" w:lineRule="auto"/>
              <w:ind w:right="69"/>
              <w:rPr>
                <w:rFonts w:cs="Times New Roman"/>
                <w:lang w:val="fr-FR"/>
              </w:rPr>
            </w:pPr>
            <w:r w:rsidRPr="00B546D0">
              <w:rPr>
                <w:rFonts w:cs="Times New Roman"/>
                <w:lang w:val="fr-FR"/>
              </w:rPr>
              <w:t>de 5 à 7 % des graisses et de 4 à 6 % du sel ; et</w:t>
            </w:r>
          </w:p>
          <w:p w14:paraId="08873203" w14:textId="77777777" w:rsidR="00B546D0" w:rsidRPr="00B546D0" w:rsidRDefault="00B546D0" w:rsidP="00F44E5B">
            <w:pPr>
              <w:suppressAutoHyphens/>
              <w:spacing w:beforeLines="40" w:before="96" w:afterLines="40" w:after="96" w:line="240" w:lineRule="auto"/>
              <w:ind w:right="69"/>
              <w:rPr>
                <w:rFonts w:cs="Times New Roman"/>
                <w:lang w:val="fr-FR"/>
              </w:rPr>
            </w:pPr>
            <w:r w:rsidRPr="00B546D0">
              <w:rPr>
                <w:rFonts w:cs="Times New Roman"/>
                <w:lang w:val="fr-FR"/>
              </w:rPr>
              <w:t xml:space="preserve">50 % taxes : réduction de 5 à 10 % des calories, </w:t>
            </w:r>
          </w:p>
          <w:p w14:paraId="4596416E" w14:textId="77777777" w:rsidR="00B546D0" w:rsidRPr="00B546D0" w:rsidRDefault="00B546D0" w:rsidP="00F44E5B">
            <w:pPr>
              <w:suppressAutoHyphens/>
              <w:spacing w:beforeLines="40" w:before="96" w:afterLines="40" w:after="96" w:line="240" w:lineRule="auto"/>
              <w:ind w:right="69"/>
              <w:rPr>
                <w:rFonts w:cs="Times New Roman"/>
                <w:lang w:val="fr-FR"/>
              </w:rPr>
            </w:pPr>
            <w:r w:rsidRPr="00B546D0">
              <w:rPr>
                <w:rFonts w:cs="Times New Roman"/>
                <w:lang w:val="fr-FR"/>
              </w:rPr>
              <w:t>de 7 à 11 % des graisses et de 9 à 14 % du sel.</w:t>
            </w:r>
          </w:p>
          <w:p w14:paraId="39E18499" w14:textId="3058F679" w:rsidR="0072348E" w:rsidRPr="00B546D0" w:rsidRDefault="00B546D0" w:rsidP="00F44E5B">
            <w:pPr>
              <w:pStyle w:val="NormalWeb"/>
              <w:spacing w:beforeLines="40" w:before="96" w:beforeAutospacing="0" w:afterLines="40" w:after="96" w:afterAutospacing="0"/>
              <w:ind w:right="69"/>
              <w:rPr>
                <w:sz w:val="22"/>
                <w:szCs w:val="22"/>
                <w:lang w:val="fr-FR"/>
              </w:rPr>
            </w:pPr>
            <w:r w:rsidRPr="00B546D0">
              <w:rPr>
                <w:lang w:val="fr-FR"/>
              </w:rPr>
              <w:lastRenderedPageBreak/>
              <w:t>La totalité des recettes annuelles prévues sur la base des 20 % ou 50 % de taxes équivaudrait respectivement à FJ$ 51,4 millions et FJ$ 74,3 millions.</w:t>
            </w:r>
          </w:p>
        </w:tc>
        <w:tc>
          <w:tcPr>
            <w:tcW w:w="1620" w:type="dxa"/>
          </w:tcPr>
          <w:p w14:paraId="1BA8C5FD" w14:textId="77777777" w:rsidR="0072348E" w:rsidRPr="007C3D52" w:rsidRDefault="0072348E" w:rsidP="00F44E5B">
            <w:pPr>
              <w:pStyle w:val="NormalWeb"/>
              <w:spacing w:beforeLines="40" w:before="96" w:beforeAutospacing="0" w:afterLines="40" w:after="96" w:afterAutospacing="0"/>
              <w:rPr>
                <w:sz w:val="22"/>
                <w:szCs w:val="22"/>
              </w:rPr>
            </w:pPr>
            <w:r w:rsidRPr="007C3D52">
              <w:rPr>
                <w:kern w:val="24"/>
                <w:sz w:val="22"/>
                <w:szCs w:val="22"/>
                <w:lang w:val="en-US"/>
              </w:rPr>
              <w:lastRenderedPageBreak/>
              <w:t xml:space="preserve">FAO </w:t>
            </w:r>
          </w:p>
        </w:tc>
      </w:tr>
      <w:tr w:rsidR="00B546D0" w:rsidRPr="00F62E37" w14:paraId="07EE93E1" w14:textId="77777777" w:rsidTr="008E2ED8">
        <w:tc>
          <w:tcPr>
            <w:tcW w:w="1440" w:type="dxa"/>
          </w:tcPr>
          <w:p w14:paraId="4E0AC341" w14:textId="23D6F79F" w:rsidR="00B546D0" w:rsidRPr="007C3D52" w:rsidRDefault="00B546D0" w:rsidP="00F44E5B">
            <w:pPr>
              <w:pStyle w:val="NormalWeb"/>
              <w:spacing w:beforeLines="40" w:before="96" w:beforeAutospacing="0" w:afterLines="40" w:after="96" w:afterAutospacing="0"/>
              <w:rPr>
                <w:sz w:val="22"/>
                <w:szCs w:val="22"/>
              </w:rPr>
            </w:pPr>
            <w:proofErr w:type="spellStart"/>
            <w:r w:rsidRPr="000F052D">
              <w:lastRenderedPageBreak/>
              <w:t>États</w:t>
            </w:r>
            <w:proofErr w:type="spellEnd"/>
            <w:r w:rsidRPr="000F052D">
              <w:t xml:space="preserve"> </w:t>
            </w:r>
            <w:proofErr w:type="spellStart"/>
            <w:r w:rsidRPr="000F052D">
              <w:t>Fédérés</w:t>
            </w:r>
            <w:proofErr w:type="spellEnd"/>
            <w:r w:rsidRPr="000F052D">
              <w:t xml:space="preserve"> de </w:t>
            </w:r>
            <w:proofErr w:type="spellStart"/>
            <w:r w:rsidRPr="000F052D">
              <w:t>Micronésie</w:t>
            </w:r>
            <w:proofErr w:type="spellEnd"/>
            <w:r w:rsidRPr="000F052D">
              <w:t xml:space="preserve"> </w:t>
            </w:r>
          </w:p>
        </w:tc>
        <w:tc>
          <w:tcPr>
            <w:tcW w:w="2250" w:type="dxa"/>
          </w:tcPr>
          <w:p w14:paraId="0DF1714E" w14:textId="0584E475" w:rsidR="00B546D0" w:rsidRPr="007C3D52" w:rsidRDefault="00B546D0" w:rsidP="00F44E5B">
            <w:pPr>
              <w:pStyle w:val="NormalWeb"/>
              <w:spacing w:beforeLines="40" w:before="96" w:beforeAutospacing="0" w:afterLines="40" w:after="96" w:afterAutospacing="0"/>
              <w:rPr>
                <w:sz w:val="22"/>
                <w:szCs w:val="22"/>
              </w:rPr>
            </w:pPr>
            <w:proofErr w:type="spellStart"/>
            <w:r w:rsidRPr="000F052D">
              <w:t>Tabac</w:t>
            </w:r>
            <w:proofErr w:type="spellEnd"/>
          </w:p>
        </w:tc>
        <w:tc>
          <w:tcPr>
            <w:tcW w:w="4950" w:type="dxa"/>
          </w:tcPr>
          <w:p w14:paraId="029464E7" w14:textId="07981427" w:rsidR="00B546D0" w:rsidRPr="00B546D0" w:rsidRDefault="00B546D0" w:rsidP="00F44E5B">
            <w:pPr>
              <w:pStyle w:val="NormalWeb"/>
              <w:spacing w:beforeLines="40" w:before="96" w:beforeAutospacing="0" w:afterLines="40" w:after="96" w:afterAutospacing="0"/>
              <w:ind w:right="69"/>
              <w:rPr>
                <w:sz w:val="22"/>
                <w:szCs w:val="22"/>
                <w:lang w:val="fr-FR"/>
              </w:rPr>
            </w:pPr>
            <w:r w:rsidRPr="00B546D0">
              <w:rPr>
                <w:sz w:val="22"/>
                <w:szCs w:val="22"/>
                <w:lang w:val="fr-FR"/>
              </w:rPr>
              <w:t xml:space="preserve">Sur la base d'une augmentation proposée </w:t>
            </w:r>
            <w:proofErr w:type="gramStart"/>
            <w:r w:rsidRPr="00B546D0">
              <w:rPr>
                <w:sz w:val="22"/>
                <w:szCs w:val="22"/>
                <w:lang w:val="fr-FR"/>
              </w:rPr>
              <w:t>de US$ 0,050 par cigarette en 2018 à US$ 0,075 par cigarette en 2019, et US$</w:t>
            </w:r>
            <w:proofErr w:type="gramEnd"/>
            <w:r w:rsidRPr="00B546D0">
              <w:rPr>
                <w:sz w:val="22"/>
                <w:szCs w:val="22"/>
                <w:lang w:val="fr-FR"/>
              </w:rPr>
              <w:t xml:space="preserve"> 0,025 par cigarette chaque année jusqu'en 2023 :</w:t>
            </w:r>
          </w:p>
          <w:p w14:paraId="7ACFE1FE" w14:textId="77777777" w:rsidR="00B546D0" w:rsidRPr="00B546D0" w:rsidRDefault="00B546D0" w:rsidP="00F44E5B">
            <w:pPr>
              <w:pStyle w:val="ListParagraph"/>
              <w:numPr>
                <w:ilvl w:val="0"/>
                <w:numId w:val="5"/>
              </w:numPr>
              <w:spacing w:after="0" w:line="240" w:lineRule="auto"/>
              <w:rPr>
                <w:rFonts w:eastAsia="Times New Roman" w:cs="Times New Roman"/>
                <w:lang w:val="fr-FR"/>
              </w:rPr>
            </w:pPr>
            <w:r w:rsidRPr="00B546D0">
              <w:rPr>
                <w:rFonts w:eastAsia="Times New Roman" w:cs="Times New Roman"/>
                <w:lang w:val="fr-FR"/>
              </w:rPr>
              <w:t xml:space="preserve">Augmentation estimée en recettes issues du droit d'accise sur l'ensemble des taxes sur le tabac : US$ 1,4 million durant les 2 premières années de mise en </w:t>
            </w:r>
            <w:proofErr w:type="spellStart"/>
            <w:r w:rsidRPr="00B546D0">
              <w:rPr>
                <w:rFonts w:eastAsia="Times New Roman" w:cs="Times New Roman"/>
                <w:lang w:val="fr-FR"/>
              </w:rPr>
              <w:t>oeuvre</w:t>
            </w:r>
            <w:proofErr w:type="spellEnd"/>
            <w:r w:rsidRPr="00B546D0">
              <w:rPr>
                <w:rFonts w:eastAsia="Times New Roman" w:cs="Times New Roman"/>
                <w:lang w:val="fr-FR"/>
              </w:rPr>
              <w:t xml:space="preserve"> d'une augmentation de 50 % du droit d'accise spécifique sur les cigarettes. </w:t>
            </w:r>
          </w:p>
          <w:p w14:paraId="0A40366E" w14:textId="658A7991" w:rsidR="00B546D0" w:rsidRPr="00B546D0" w:rsidRDefault="00B546D0" w:rsidP="00F44E5B">
            <w:pPr>
              <w:pStyle w:val="NormalWeb"/>
              <w:numPr>
                <w:ilvl w:val="0"/>
                <w:numId w:val="5"/>
              </w:numPr>
              <w:spacing w:beforeLines="40" w:before="96" w:beforeAutospacing="0" w:afterLines="40" w:after="96" w:afterAutospacing="0"/>
              <w:ind w:right="69"/>
              <w:rPr>
                <w:sz w:val="22"/>
                <w:szCs w:val="22"/>
                <w:lang w:val="fr-FR"/>
              </w:rPr>
            </w:pPr>
            <w:r w:rsidRPr="00B546D0">
              <w:rPr>
                <w:rFonts w:hint="eastAsia"/>
                <w:sz w:val="22"/>
                <w:szCs w:val="22"/>
                <w:lang w:val="fr-FR"/>
              </w:rPr>
              <w:t>Baisse estimée de la consommation en partant d'un équivalent de 70 millions de bâtonnets de tabac par an en 2018</w:t>
            </w:r>
            <w:r w:rsidR="008C5573">
              <w:rPr>
                <w:rStyle w:val="FootnoteReference"/>
                <w:sz w:val="22"/>
                <w:szCs w:val="22"/>
                <w:lang w:val="fr-FR"/>
              </w:rPr>
              <w:footnoteReference w:id="7"/>
            </w:r>
            <w:r w:rsidRPr="00B546D0">
              <w:rPr>
                <w:rFonts w:hint="eastAsia"/>
                <w:sz w:val="22"/>
                <w:szCs w:val="22"/>
                <w:lang w:val="fr-FR"/>
              </w:rPr>
              <w:t xml:space="preserve"> à 55 millions d'ici 2023.</w:t>
            </w:r>
          </w:p>
        </w:tc>
        <w:tc>
          <w:tcPr>
            <w:tcW w:w="1620" w:type="dxa"/>
          </w:tcPr>
          <w:p w14:paraId="5C74CD23" w14:textId="6AE43C48" w:rsidR="00B546D0" w:rsidRPr="007C3D52" w:rsidRDefault="00634755" w:rsidP="00F44E5B">
            <w:pPr>
              <w:pStyle w:val="NormalWeb"/>
              <w:spacing w:beforeLines="40" w:before="96" w:beforeAutospacing="0" w:afterLines="40" w:after="96" w:afterAutospacing="0"/>
              <w:rPr>
                <w:sz w:val="22"/>
                <w:szCs w:val="22"/>
              </w:rPr>
            </w:pPr>
            <w:r w:rsidRPr="00634755">
              <w:rPr>
                <w:bCs/>
                <w:kern w:val="24"/>
                <w:sz w:val="22"/>
                <w:szCs w:val="22"/>
                <w:lang w:val="en-US"/>
              </w:rPr>
              <w:t>OMS</w:t>
            </w:r>
          </w:p>
        </w:tc>
      </w:tr>
      <w:tr w:rsidR="00634755" w:rsidRPr="00F62E37" w14:paraId="5DA5BCA8" w14:textId="77777777" w:rsidTr="008E2ED8">
        <w:tc>
          <w:tcPr>
            <w:tcW w:w="1440" w:type="dxa"/>
          </w:tcPr>
          <w:p w14:paraId="66ABE23F" w14:textId="2BA86D0B" w:rsidR="00634755" w:rsidRPr="007C3D52" w:rsidRDefault="00634755" w:rsidP="00F44E5B">
            <w:pPr>
              <w:pStyle w:val="NormalWeb"/>
              <w:spacing w:beforeLines="40" w:before="96" w:beforeAutospacing="0" w:afterLines="40" w:after="96" w:afterAutospacing="0"/>
              <w:rPr>
                <w:sz w:val="22"/>
                <w:szCs w:val="22"/>
              </w:rPr>
            </w:pPr>
            <w:r w:rsidRPr="004D3584">
              <w:t xml:space="preserve">Les </w:t>
            </w:r>
            <w:proofErr w:type="spellStart"/>
            <w:r w:rsidRPr="004D3584">
              <w:t>Palaos</w:t>
            </w:r>
            <w:proofErr w:type="spellEnd"/>
          </w:p>
        </w:tc>
        <w:tc>
          <w:tcPr>
            <w:tcW w:w="2250" w:type="dxa"/>
          </w:tcPr>
          <w:p w14:paraId="6B137DF9" w14:textId="08B11F0A" w:rsidR="00634755" w:rsidRPr="007C3D52" w:rsidRDefault="00634755" w:rsidP="00F44E5B">
            <w:pPr>
              <w:pStyle w:val="NormalWeb"/>
              <w:spacing w:beforeLines="40" w:before="96" w:beforeAutospacing="0" w:afterLines="40" w:after="96" w:afterAutospacing="0"/>
              <w:rPr>
                <w:sz w:val="22"/>
                <w:szCs w:val="22"/>
              </w:rPr>
            </w:pPr>
            <w:proofErr w:type="spellStart"/>
            <w:r w:rsidRPr="004D3584">
              <w:t>Tabac</w:t>
            </w:r>
            <w:proofErr w:type="spellEnd"/>
          </w:p>
        </w:tc>
        <w:tc>
          <w:tcPr>
            <w:tcW w:w="4950" w:type="dxa"/>
          </w:tcPr>
          <w:p w14:paraId="65D4B9A8" w14:textId="35A20CDB" w:rsidR="00634755" w:rsidRPr="00634755" w:rsidRDefault="00634755" w:rsidP="00F44E5B">
            <w:pPr>
              <w:pStyle w:val="NormalWeb"/>
              <w:spacing w:beforeLines="40" w:before="96" w:beforeAutospacing="0" w:afterLines="40" w:after="96" w:afterAutospacing="0"/>
              <w:ind w:right="69"/>
              <w:rPr>
                <w:sz w:val="22"/>
                <w:szCs w:val="22"/>
                <w:lang w:val="fr-FR"/>
              </w:rPr>
            </w:pPr>
            <w:r w:rsidRPr="00634755">
              <w:rPr>
                <w:sz w:val="22"/>
                <w:szCs w:val="22"/>
                <w:lang w:val="fr-FR"/>
              </w:rPr>
              <w:t>Un examen des augmentations en 2013 et 2015 :</w:t>
            </w:r>
          </w:p>
          <w:p w14:paraId="0DA2CDF4" w14:textId="77777777" w:rsidR="00634755" w:rsidRPr="00634755" w:rsidRDefault="00634755" w:rsidP="00F44E5B">
            <w:pPr>
              <w:pStyle w:val="ListParagraph"/>
              <w:numPr>
                <w:ilvl w:val="0"/>
                <w:numId w:val="3"/>
              </w:numPr>
              <w:spacing w:after="0" w:line="240" w:lineRule="auto"/>
              <w:rPr>
                <w:rFonts w:eastAsia="Times New Roman" w:cs="Times New Roman"/>
                <w:lang w:val="fr-FR"/>
              </w:rPr>
            </w:pPr>
            <w:r w:rsidRPr="00634755">
              <w:rPr>
                <w:rFonts w:eastAsia="Times New Roman" w:cs="Times New Roman"/>
                <w:lang w:val="fr-FR"/>
              </w:rPr>
              <w:t xml:space="preserve">Perte entre US$ 1,8 et US$ 1,9 million en revenu fiscal due à l'accaparement. </w:t>
            </w:r>
          </w:p>
          <w:p w14:paraId="2905F770" w14:textId="6FF6D410" w:rsidR="00634755" w:rsidRPr="00634755" w:rsidRDefault="00634755" w:rsidP="00F44E5B">
            <w:pPr>
              <w:pStyle w:val="NormalWeb"/>
              <w:numPr>
                <w:ilvl w:val="0"/>
                <w:numId w:val="3"/>
              </w:numPr>
              <w:spacing w:beforeLines="40" w:before="96" w:beforeAutospacing="0" w:afterLines="40" w:after="96" w:afterAutospacing="0"/>
              <w:ind w:right="69"/>
              <w:rPr>
                <w:sz w:val="22"/>
                <w:szCs w:val="22"/>
                <w:lang w:val="fr-FR"/>
              </w:rPr>
            </w:pPr>
            <w:r w:rsidRPr="00634755">
              <w:rPr>
                <w:rFonts w:hint="eastAsia"/>
                <w:sz w:val="22"/>
                <w:szCs w:val="22"/>
                <w:lang w:val="fr-FR"/>
              </w:rPr>
              <w:t>Environ US$ 0,6 million issus de la vente au détail par les importateurs ayant eu recours à l'accaparement.</w:t>
            </w:r>
            <w:r w:rsidRPr="00634755">
              <w:rPr>
                <w:sz w:val="22"/>
                <w:szCs w:val="22"/>
                <w:lang w:val="fr-FR"/>
              </w:rPr>
              <w:t xml:space="preserve"> </w:t>
            </w:r>
          </w:p>
          <w:p w14:paraId="64F24DCA" w14:textId="73082303" w:rsidR="00634755" w:rsidRPr="00634755" w:rsidRDefault="00634755" w:rsidP="00F44E5B">
            <w:pPr>
              <w:pStyle w:val="NormalWeb"/>
              <w:numPr>
                <w:ilvl w:val="0"/>
                <w:numId w:val="3"/>
              </w:numPr>
              <w:spacing w:beforeLines="40" w:before="96" w:beforeAutospacing="0" w:afterLines="40" w:after="96" w:afterAutospacing="0"/>
              <w:ind w:right="69"/>
              <w:rPr>
                <w:sz w:val="22"/>
                <w:szCs w:val="22"/>
                <w:lang w:val="fr-FR"/>
              </w:rPr>
            </w:pPr>
            <w:r w:rsidRPr="00634755">
              <w:rPr>
                <w:rFonts w:hint="eastAsia"/>
                <w:sz w:val="22"/>
                <w:szCs w:val="22"/>
                <w:lang w:val="fr-FR"/>
              </w:rPr>
              <w:t>Les augmentations annoncées ne devraient pas pouvoir être anticipées par les fournisseurs du marché, ou alors les autorités fiscales devraient mettre en place des mesures leur permettant de contrôler les tentatives d'accaparement.</w:t>
            </w:r>
          </w:p>
          <w:p w14:paraId="3E9F30E0" w14:textId="46C9BC03" w:rsidR="00634755" w:rsidRPr="00634755" w:rsidRDefault="00634755" w:rsidP="00F44E5B">
            <w:pPr>
              <w:pStyle w:val="NormalWeb"/>
              <w:numPr>
                <w:ilvl w:val="0"/>
                <w:numId w:val="3"/>
              </w:numPr>
              <w:spacing w:beforeLines="40" w:before="96" w:beforeAutospacing="0" w:afterLines="40" w:after="96" w:afterAutospacing="0"/>
              <w:ind w:right="69"/>
              <w:rPr>
                <w:sz w:val="22"/>
                <w:szCs w:val="22"/>
                <w:lang w:val="fr-FR"/>
              </w:rPr>
            </w:pPr>
            <w:r w:rsidRPr="00634755">
              <w:rPr>
                <w:rFonts w:hint="eastAsia"/>
                <w:sz w:val="22"/>
                <w:szCs w:val="22"/>
                <w:lang w:val="fr-FR"/>
              </w:rPr>
              <w:t>Les timbres fiscaux en plus d'un plancher fiscal ou d'une taxe sur les stocks de produits sont des solutions possibles pour empêcher l'accaparement.</w:t>
            </w:r>
          </w:p>
        </w:tc>
        <w:tc>
          <w:tcPr>
            <w:tcW w:w="1620" w:type="dxa"/>
          </w:tcPr>
          <w:p w14:paraId="7C22C9D4" w14:textId="4EEFCF32" w:rsidR="00634755" w:rsidRPr="007C3D52" w:rsidRDefault="00634755" w:rsidP="00F44E5B">
            <w:pPr>
              <w:pStyle w:val="NormalWeb"/>
              <w:spacing w:beforeLines="40" w:before="96" w:beforeAutospacing="0" w:afterLines="40" w:after="96" w:afterAutospacing="0"/>
              <w:rPr>
                <w:sz w:val="22"/>
                <w:szCs w:val="22"/>
              </w:rPr>
            </w:pPr>
            <w:r w:rsidRPr="00634755">
              <w:rPr>
                <w:bCs/>
                <w:kern w:val="24"/>
                <w:sz w:val="22"/>
                <w:szCs w:val="22"/>
                <w:lang w:val="en-US"/>
              </w:rPr>
              <w:t>OMS</w:t>
            </w:r>
          </w:p>
        </w:tc>
      </w:tr>
      <w:tr w:rsidR="00844659" w:rsidRPr="00F62E37" w14:paraId="3F89F192" w14:textId="77777777" w:rsidTr="008E2ED8">
        <w:tc>
          <w:tcPr>
            <w:tcW w:w="1440" w:type="dxa"/>
            <w:vMerge w:val="restart"/>
          </w:tcPr>
          <w:p w14:paraId="3A434F93" w14:textId="0C83AA26" w:rsidR="00844659" w:rsidRPr="007C3D52" w:rsidRDefault="00844659" w:rsidP="00F44E5B">
            <w:pPr>
              <w:pStyle w:val="NormalWeb"/>
              <w:spacing w:beforeLines="40" w:before="96" w:beforeAutospacing="0" w:afterLines="40" w:after="96" w:afterAutospacing="0"/>
              <w:rPr>
                <w:color w:val="000000" w:themeColor="dark1"/>
                <w:kern w:val="24"/>
                <w:sz w:val="22"/>
                <w:szCs w:val="22"/>
                <w:lang w:val="en-US"/>
              </w:rPr>
            </w:pPr>
            <w:proofErr w:type="spellStart"/>
            <w:r w:rsidRPr="00844659">
              <w:rPr>
                <w:color w:val="000000" w:themeColor="dark1"/>
                <w:kern w:val="24"/>
                <w:sz w:val="22"/>
                <w:szCs w:val="22"/>
                <w:lang w:val="en-US"/>
              </w:rPr>
              <w:t>Îles</w:t>
            </w:r>
            <w:proofErr w:type="spellEnd"/>
            <w:r w:rsidRPr="00844659">
              <w:rPr>
                <w:color w:val="000000" w:themeColor="dark1"/>
                <w:kern w:val="24"/>
                <w:sz w:val="22"/>
                <w:szCs w:val="22"/>
                <w:lang w:val="en-US"/>
              </w:rPr>
              <w:t xml:space="preserve"> Salomon</w:t>
            </w:r>
          </w:p>
        </w:tc>
        <w:tc>
          <w:tcPr>
            <w:tcW w:w="2250" w:type="dxa"/>
          </w:tcPr>
          <w:p w14:paraId="04260DC7" w14:textId="7B59B5DE" w:rsidR="00844659" w:rsidRPr="007C3D52" w:rsidRDefault="00844659" w:rsidP="00F44E5B">
            <w:pPr>
              <w:pStyle w:val="NormalWeb"/>
              <w:spacing w:beforeLines="40" w:before="96" w:beforeAutospacing="0" w:afterLines="40" w:after="96" w:afterAutospacing="0"/>
              <w:rPr>
                <w:rFonts w:eastAsiaTheme="minorEastAsia"/>
                <w:color w:val="000000" w:themeColor="dark1"/>
                <w:kern w:val="24"/>
                <w:sz w:val="22"/>
                <w:szCs w:val="22"/>
              </w:rPr>
            </w:pPr>
            <w:r w:rsidRPr="005E5143">
              <w:t>BSA</w:t>
            </w:r>
          </w:p>
        </w:tc>
        <w:tc>
          <w:tcPr>
            <w:tcW w:w="4950" w:type="dxa"/>
          </w:tcPr>
          <w:p w14:paraId="42EB4909" w14:textId="7B3BE5B0" w:rsidR="00844659" w:rsidRPr="00844659" w:rsidRDefault="00844659" w:rsidP="00F44E5B">
            <w:pPr>
              <w:pStyle w:val="NormalWeb"/>
              <w:spacing w:beforeLines="40" w:before="96" w:beforeAutospacing="0" w:afterLines="40" w:after="96" w:afterAutospacing="0"/>
              <w:ind w:right="69"/>
              <w:rPr>
                <w:sz w:val="22"/>
                <w:szCs w:val="22"/>
                <w:lang w:val="fr-FR"/>
              </w:rPr>
            </w:pPr>
            <w:r w:rsidRPr="00844659">
              <w:rPr>
                <w:sz w:val="22"/>
                <w:szCs w:val="22"/>
                <w:lang w:val="fr-FR"/>
              </w:rPr>
              <w:t>Les recettes annuelles générées par une taxe à 40 % et une taxe à 20 % représenteraient respectivement SI$ 175 millions et SI$ 93 millions au cours de la vie d'une population, le résultat d'une admission hospitalière évitée pour chaque prévention de cas de diabète.</w:t>
            </w:r>
          </w:p>
        </w:tc>
        <w:tc>
          <w:tcPr>
            <w:tcW w:w="1620" w:type="dxa"/>
          </w:tcPr>
          <w:p w14:paraId="575DAB85" w14:textId="77777777" w:rsidR="00844659" w:rsidRPr="007C3D52" w:rsidRDefault="00844659" w:rsidP="00F44E5B">
            <w:pPr>
              <w:pStyle w:val="NormalWeb"/>
              <w:spacing w:beforeLines="40" w:before="96" w:beforeAutospacing="0" w:afterLines="40" w:after="96" w:afterAutospacing="0"/>
              <w:rPr>
                <w:color w:val="000000" w:themeColor="dark1"/>
                <w:kern w:val="24"/>
                <w:sz w:val="22"/>
                <w:szCs w:val="22"/>
                <w:lang w:val="en-US"/>
              </w:rPr>
            </w:pPr>
            <w:r w:rsidRPr="007C3D52">
              <w:rPr>
                <w:color w:val="000000" w:themeColor="dark1"/>
                <w:kern w:val="24"/>
                <w:sz w:val="22"/>
                <w:szCs w:val="22"/>
                <w:lang w:val="en-US"/>
              </w:rPr>
              <w:t>FAO</w:t>
            </w:r>
          </w:p>
        </w:tc>
      </w:tr>
      <w:tr w:rsidR="00844659" w:rsidRPr="00F62E37" w14:paraId="1F1F32EA" w14:textId="77777777" w:rsidTr="008E2ED8">
        <w:tc>
          <w:tcPr>
            <w:tcW w:w="1440" w:type="dxa"/>
            <w:vMerge/>
          </w:tcPr>
          <w:p w14:paraId="2A05493A" w14:textId="77777777" w:rsidR="00844659" w:rsidRPr="007C3D52" w:rsidRDefault="00844659" w:rsidP="00F44E5B">
            <w:pPr>
              <w:pStyle w:val="NormalWeb"/>
              <w:spacing w:beforeLines="40" w:before="96" w:beforeAutospacing="0" w:afterLines="40" w:after="96" w:afterAutospacing="0"/>
              <w:rPr>
                <w:sz w:val="22"/>
                <w:szCs w:val="22"/>
              </w:rPr>
            </w:pPr>
          </w:p>
        </w:tc>
        <w:tc>
          <w:tcPr>
            <w:tcW w:w="2250" w:type="dxa"/>
          </w:tcPr>
          <w:p w14:paraId="4E400EA5" w14:textId="3BA3051A" w:rsidR="00844659" w:rsidRPr="007C3D52" w:rsidRDefault="00844659" w:rsidP="00F44E5B">
            <w:pPr>
              <w:pStyle w:val="NormalWeb"/>
              <w:spacing w:beforeLines="40" w:before="96" w:beforeAutospacing="0" w:afterLines="40" w:after="96" w:afterAutospacing="0"/>
              <w:rPr>
                <w:rFonts w:eastAsiaTheme="minorEastAsia"/>
                <w:color w:val="000000" w:themeColor="dark1"/>
                <w:kern w:val="24"/>
                <w:sz w:val="22"/>
                <w:szCs w:val="22"/>
              </w:rPr>
            </w:pPr>
            <w:proofErr w:type="spellStart"/>
            <w:r w:rsidRPr="005E5143">
              <w:t>Tabac</w:t>
            </w:r>
            <w:proofErr w:type="spellEnd"/>
          </w:p>
        </w:tc>
        <w:tc>
          <w:tcPr>
            <w:tcW w:w="4950" w:type="dxa"/>
          </w:tcPr>
          <w:p w14:paraId="3B5FE850" w14:textId="1E23106D" w:rsidR="00844659" w:rsidRPr="00844659" w:rsidRDefault="00844659" w:rsidP="00F44E5B">
            <w:pPr>
              <w:pStyle w:val="NormalWeb"/>
              <w:spacing w:beforeLines="40" w:before="96" w:beforeAutospacing="0" w:afterLines="40" w:after="96" w:afterAutospacing="0"/>
              <w:ind w:right="69"/>
              <w:rPr>
                <w:sz w:val="22"/>
                <w:szCs w:val="22"/>
                <w:lang w:val="fr-FR"/>
              </w:rPr>
            </w:pPr>
            <w:r w:rsidRPr="00844659">
              <w:rPr>
                <w:sz w:val="22"/>
                <w:szCs w:val="22"/>
                <w:lang w:val="fr-FR"/>
              </w:rPr>
              <w:t xml:space="preserve">L'évaluation de 15 % de taxes sur les cigarettes contenant du tabac avec un taux de goudron supérieur à 10 mg par cigarette ; 30 % sur les cigarettes avec une teneur en goudron ne dépassant pas 10 mg par cigarette ; 100 % de taxes sur les produits du tabac à mâcher, en bâtonnets, à rouler ou </w:t>
            </w:r>
            <w:r w:rsidRPr="00844659">
              <w:rPr>
                <w:sz w:val="22"/>
                <w:szCs w:val="22"/>
                <w:lang w:val="fr-FR"/>
              </w:rPr>
              <w:lastRenderedPageBreak/>
              <w:t>à grosse coupe ; et 15 % de droits et taxes sur les importations d'alcool.</w:t>
            </w:r>
          </w:p>
          <w:p w14:paraId="1DEFA5EC" w14:textId="77777777" w:rsidR="00844659" w:rsidRPr="00844659" w:rsidRDefault="00844659" w:rsidP="00F44E5B">
            <w:pPr>
              <w:pStyle w:val="ListParagraph"/>
              <w:numPr>
                <w:ilvl w:val="0"/>
                <w:numId w:val="7"/>
              </w:numPr>
              <w:spacing w:after="0" w:line="240" w:lineRule="auto"/>
              <w:rPr>
                <w:rFonts w:cs="Times New Roman"/>
                <w:lang w:val="fr-FR"/>
              </w:rPr>
            </w:pPr>
            <w:r w:rsidRPr="00844659">
              <w:rPr>
                <w:rFonts w:cs="Times New Roman"/>
                <w:lang w:val="fr-FR"/>
              </w:rPr>
              <w:t>Les pouvoirs publics pourraient s'attendre à percevoir SI$ 43,7 millions supplémentaires durant l'exercice financier 2019.</w:t>
            </w:r>
          </w:p>
          <w:p w14:paraId="275A97EB" w14:textId="60BBC611" w:rsidR="00844659" w:rsidRPr="0058123E" w:rsidRDefault="00844659" w:rsidP="00F44E5B">
            <w:pPr>
              <w:pStyle w:val="NormalWeb"/>
              <w:spacing w:beforeLines="40" w:before="96" w:beforeAutospacing="0" w:afterLines="40" w:after="96" w:afterAutospacing="0"/>
              <w:ind w:right="69"/>
              <w:rPr>
                <w:sz w:val="22"/>
                <w:szCs w:val="22"/>
              </w:rPr>
            </w:pPr>
            <w:proofErr w:type="spellStart"/>
            <w:r w:rsidRPr="00844659">
              <w:rPr>
                <w:sz w:val="22"/>
                <w:szCs w:val="22"/>
              </w:rPr>
              <w:t>Autres</w:t>
            </w:r>
            <w:proofErr w:type="spellEnd"/>
            <w:r w:rsidRPr="00844659">
              <w:rPr>
                <w:sz w:val="22"/>
                <w:szCs w:val="22"/>
              </w:rPr>
              <w:t xml:space="preserve"> </w:t>
            </w:r>
            <w:proofErr w:type="spellStart"/>
            <w:r w:rsidRPr="00844659">
              <w:rPr>
                <w:sz w:val="22"/>
                <w:szCs w:val="22"/>
              </w:rPr>
              <w:t>recommandations</w:t>
            </w:r>
            <w:proofErr w:type="spellEnd"/>
            <w:r w:rsidRPr="00844659">
              <w:rPr>
                <w:sz w:val="22"/>
                <w:szCs w:val="22"/>
              </w:rPr>
              <w:t xml:space="preserve"> :</w:t>
            </w:r>
          </w:p>
          <w:p w14:paraId="7A7BC9DF" w14:textId="77777777" w:rsidR="00844659" w:rsidRPr="00844659" w:rsidRDefault="00844659" w:rsidP="00F44E5B">
            <w:pPr>
              <w:pStyle w:val="ListParagraph"/>
              <w:numPr>
                <w:ilvl w:val="0"/>
                <w:numId w:val="7"/>
              </w:numPr>
              <w:spacing w:after="0" w:line="240" w:lineRule="auto"/>
              <w:rPr>
                <w:rFonts w:eastAsia="Times New Roman" w:cs="Times New Roman"/>
                <w:lang w:val="fr-FR"/>
              </w:rPr>
            </w:pPr>
            <w:r w:rsidRPr="00844659">
              <w:rPr>
                <w:rFonts w:eastAsia="Times New Roman" w:cs="Times New Roman"/>
                <w:lang w:val="fr-FR"/>
              </w:rPr>
              <w:t>Convertir les droits d'accise et taxes à l'importation actuels par bâtonnet à des mesures par kilogramme à un taux de 1 gramme pour 1 bâtonnet afin de maintenir une cohérence sur les différentes catégories de tabac.</w:t>
            </w:r>
          </w:p>
          <w:p w14:paraId="01039070" w14:textId="77777777" w:rsidR="00844659" w:rsidRPr="00844659" w:rsidRDefault="00844659" w:rsidP="00F44E5B">
            <w:pPr>
              <w:pStyle w:val="ListParagraph"/>
              <w:numPr>
                <w:ilvl w:val="0"/>
                <w:numId w:val="7"/>
              </w:numPr>
              <w:spacing w:after="0" w:line="240" w:lineRule="auto"/>
              <w:rPr>
                <w:rFonts w:eastAsia="Times New Roman" w:cs="Times New Roman"/>
                <w:lang w:val="fr-FR"/>
              </w:rPr>
            </w:pPr>
            <w:r w:rsidRPr="00844659">
              <w:rPr>
                <w:rFonts w:eastAsia="Times New Roman" w:cs="Times New Roman"/>
                <w:lang w:val="fr-FR"/>
              </w:rPr>
              <w:t>Uniformiser les taxes à l'importation sur le tabac avec un taux par kilogramme de SI$ 1157,842 par kg.</w:t>
            </w:r>
          </w:p>
          <w:p w14:paraId="554D55A5" w14:textId="77777777" w:rsidR="00844659" w:rsidRPr="00844659" w:rsidRDefault="00844659" w:rsidP="00F44E5B">
            <w:pPr>
              <w:pStyle w:val="NormalWeb"/>
              <w:spacing w:beforeLines="40" w:before="96" w:beforeAutospacing="0" w:afterLines="40" w:after="96" w:afterAutospacing="0"/>
              <w:ind w:right="69"/>
              <w:rPr>
                <w:sz w:val="22"/>
                <w:szCs w:val="22"/>
                <w:lang w:val="fr-FR"/>
              </w:rPr>
            </w:pPr>
          </w:p>
          <w:p w14:paraId="12DB808C" w14:textId="77777777" w:rsidR="00844659" w:rsidRPr="00844659" w:rsidRDefault="00844659" w:rsidP="00F44E5B">
            <w:pPr>
              <w:pStyle w:val="NormalWeb"/>
              <w:spacing w:beforeLines="40" w:before="96" w:beforeAutospacing="0" w:afterLines="40" w:after="96" w:afterAutospacing="0"/>
              <w:ind w:right="69"/>
              <w:rPr>
                <w:sz w:val="22"/>
                <w:szCs w:val="22"/>
                <w:lang w:val="fr-FR"/>
              </w:rPr>
            </w:pPr>
          </w:p>
          <w:p w14:paraId="09DF3A07" w14:textId="77777777" w:rsidR="00844659" w:rsidRPr="00844659" w:rsidRDefault="00844659" w:rsidP="00F44E5B">
            <w:pPr>
              <w:pStyle w:val="NormalWeb"/>
              <w:spacing w:beforeLines="40" w:before="96" w:beforeAutospacing="0" w:afterLines="40" w:after="96" w:afterAutospacing="0"/>
              <w:ind w:right="69"/>
              <w:rPr>
                <w:sz w:val="22"/>
                <w:szCs w:val="22"/>
                <w:lang w:val="fr-FR"/>
              </w:rPr>
            </w:pPr>
          </w:p>
        </w:tc>
        <w:tc>
          <w:tcPr>
            <w:tcW w:w="1620" w:type="dxa"/>
          </w:tcPr>
          <w:p w14:paraId="4E57F357" w14:textId="1E79BE24" w:rsidR="00844659" w:rsidRPr="007C3D52" w:rsidRDefault="00844659" w:rsidP="00F44E5B">
            <w:pPr>
              <w:pStyle w:val="NormalWeb"/>
              <w:spacing w:beforeLines="40" w:before="96" w:beforeAutospacing="0" w:afterLines="40" w:after="96" w:afterAutospacing="0"/>
              <w:rPr>
                <w:sz w:val="22"/>
                <w:szCs w:val="22"/>
              </w:rPr>
            </w:pPr>
            <w:r>
              <w:rPr>
                <w:color w:val="000000" w:themeColor="dark1"/>
                <w:kern w:val="24"/>
                <w:sz w:val="22"/>
                <w:szCs w:val="22"/>
                <w:lang w:val="en-US"/>
              </w:rPr>
              <w:lastRenderedPageBreak/>
              <w:t>OMS</w:t>
            </w:r>
            <w:r w:rsidRPr="007C3D52">
              <w:rPr>
                <w:color w:val="000000" w:themeColor="dark1"/>
                <w:kern w:val="24"/>
                <w:sz w:val="22"/>
                <w:szCs w:val="22"/>
                <w:lang w:val="en-US"/>
              </w:rPr>
              <w:t xml:space="preserve"> </w:t>
            </w:r>
          </w:p>
        </w:tc>
      </w:tr>
      <w:tr w:rsidR="00844659" w:rsidRPr="00F62E37" w14:paraId="489AC6C7" w14:textId="77777777" w:rsidTr="008E2ED8">
        <w:tc>
          <w:tcPr>
            <w:tcW w:w="1440" w:type="dxa"/>
          </w:tcPr>
          <w:p w14:paraId="59C5C806" w14:textId="3DC4CEEC" w:rsidR="00844659" w:rsidRPr="007C3D52" w:rsidRDefault="00844659" w:rsidP="00F44E5B">
            <w:pPr>
              <w:pStyle w:val="NormalWeb"/>
              <w:spacing w:beforeLines="40" w:before="96" w:beforeAutospacing="0" w:afterLines="40" w:after="96" w:afterAutospacing="0"/>
              <w:rPr>
                <w:sz w:val="22"/>
                <w:szCs w:val="22"/>
              </w:rPr>
            </w:pPr>
            <w:r w:rsidRPr="00D171F6">
              <w:lastRenderedPageBreak/>
              <w:t>Les Tonga</w:t>
            </w:r>
            <w:r>
              <w:rPr>
                <w:rStyle w:val="FootnoteReference"/>
              </w:rPr>
              <w:footnoteReference w:id="8"/>
            </w:r>
          </w:p>
        </w:tc>
        <w:tc>
          <w:tcPr>
            <w:tcW w:w="2250" w:type="dxa"/>
          </w:tcPr>
          <w:p w14:paraId="1E0BCFC4" w14:textId="77777777" w:rsidR="00844659" w:rsidRDefault="00844659" w:rsidP="00F44E5B">
            <w:pPr>
              <w:pStyle w:val="NormalWeb"/>
              <w:spacing w:beforeLines="40" w:before="96" w:beforeAutospacing="0" w:afterLines="40" w:after="96" w:afterAutospacing="0"/>
            </w:pPr>
            <w:proofErr w:type="spellStart"/>
            <w:r>
              <w:t>Alcool</w:t>
            </w:r>
            <w:proofErr w:type="spellEnd"/>
          </w:p>
          <w:p w14:paraId="462E45AE" w14:textId="77777777" w:rsidR="00844659" w:rsidRDefault="00844659" w:rsidP="00F44E5B">
            <w:pPr>
              <w:pStyle w:val="NormalWeb"/>
              <w:spacing w:beforeLines="40" w:before="96" w:beforeAutospacing="0" w:afterLines="40" w:after="96" w:afterAutospacing="0"/>
            </w:pPr>
            <w:r>
              <w:t>Alimentation</w:t>
            </w:r>
          </w:p>
          <w:p w14:paraId="7833F5E1" w14:textId="77777777" w:rsidR="00844659" w:rsidRDefault="00844659" w:rsidP="00F44E5B">
            <w:pPr>
              <w:pStyle w:val="NormalWeb"/>
              <w:spacing w:beforeLines="40" w:before="96" w:beforeAutospacing="0" w:afterLines="40" w:after="96" w:afterAutospacing="0"/>
            </w:pPr>
            <w:r>
              <w:t>BSA</w:t>
            </w:r>
          </w:p>
          <w:p w14:paraId="41BD9ED5" w14:textId="7C6CB87D" w:rsidR="00844659" w:rsidRPr="007C3D52" w:rsidRDefault="00844659" w:rsidP="00F44E5B">
            <w:pPr>
              <w:pStyle w:val="NormalWeb"/>
              <w:spacing w:beforeLines="40" w:before="96" w:beforeAutospacing="0" w:afterLines="40" w:after="96" w:afterAutospacing="0"/>
              <w:rPr>
                <w:sz w:val="22"/>
                <w:szCs w:val="22"/>
              </w:rPr>
            </w:pPr>
            <w:proofErr w:type="spellStart"/>
            <w:r>
              <w:t>Tabac</w:t>
            </w:r>
            <w:proofErr w:type="spellEnd"/>
          </w:p>
        </w:tc>
        <w:tc>
          <w:tcPr>
            <w:tcW w:w="4950" w:type="dxa"/>
          </w:tcPr>
          <w:p w14:paraId="22832B12" w14:textId="5CB57AD1" w:rsidR="00844659" w:rsidRPr="00844659" w:rsidRDefault="00844659" w:rsidP="00F44E5B">
            <w:pPr>
              <w:pStyle w:val="NormalWeb"/>
              <w:spacing w:beforeLines="40" w:before="96" w:beforeAutospacing="0" w:afterLines="40" w:after="96" w:afterAutospacing="0"/>
              <w:ind w:right="69"/>
              <w:rPr>
                <w:sz w:val="22"/>
                <w:szCs w:val="22"/>
                <w:lang w:val="fr-FR"/>
              </w:rPr>
            </w:pPr>
            <w:r w:rsidRPr="00844659">
              <w:rPr>
                <w:sz w:val="22"/>
                <w:szCs w:val="22"/>
                <w:lang w:val="fr-FR"/>
              </w:rPr>
              <w:t>Non publiées, les données préliminaires révèlent que :</w:t>
            </w:r>
          </w:p>
          <w:p w14:paraId="3C33F43A" w14:textId="77777777" w:rsidR="00844659" w:rsidRPr="00844659" w:rsidRDefault="00844659" w:rsidP="00F44E5B">
            <w:pPr>
              <w:pStyle w:val="ListParagraph"/>
              <w:numPr>
                <w:ilvl w:val="0"/>
                <w:numId w:val="9"/>
              </w:numPr>
              <w:spacing w:after="0" w:line="240" w:lineRule="auto"/>
              <w:rPr>
                <w:rFonts w:eastAsia="Times New Roman" w:cs="Times New Roman"/>
                <w:lang w:val="fr-FR"/>
              </w:rPr>
            </w:pPr>
            <w:r w:rsidRPr="00844659">
              <w:rPr>
                <w:rFonts w:eastAsia="Times New Roman" w:cs="Times New Roman"/>
                <w:lang w:val="fr-FR"/>
              </w:rPr>
              <w:t>les augmentations de taxes et de prix sur certains produits alimentaires sans substituts (par exemple, les cuisses de poulet et les nouilles instantanées) ont eu un impact limité sur la consommation déclarée des personnes interrogées. Une augmentation des taxes sur la poitrine d'agneau et la queue de dinde a généré une baisse de la consommation.</w:t>
            </w:r>
          </w:p>
          <w:p w14:paraId="7A31E4B3" w14:textId="77777777" w:rsidR="00844659" w:rsidRPr="00844659" w:rsidRDefault="00844659" w:rsidP="00F44E5B">
            <w:pPr>
              <w:pStyle w:val="ListParagraph"/>
              <w:numPr>
                <w:ilvl w:val="0"/>
                <w:numId w:val="9"/>
              </w:numPr>
              <w:spacing w:after="0" w:line="240" w:lineRule="auto"/>
              <w:rPr>
                <w:rFonts w:eastAsia="Times New Roman" w:cs="Times New Roman"/>
                <w:lang w:val="fr-FR"/>
              </w:rPr>
            </w:pPr>
            <w:r w:rsidRPr="00844659">
              <w:rPr>
                <w:rFonts w:eastAsia="Times New Roman" w:cs="Times New Roman"/>
                <w:lang w:val="fr-FR"/>
              </w:rPr>
              <w:t>Une augmentation des taxes sur l'alcool a provoqué une baisse de la fréquence et de la quantité consommée.</w:t>
            </w:r>
          </w:p>
          <w:p w14:paraId="16678467" w14:textId="77777777" w:rsidR="00844659" w:rsidRPr="00844659" w:rsidRDefault="00844659" w:rsidP="00F44E5B">
            <w:pPr>
              <w:pStyle w:val="ListParagraph"/>
              <w:numPr>
                <w:ilvl w:val="0"/>
                <w:numId w:val="9"/>
              </w:numPr>
              <w:spacing w:after="0" w:line="240" w:lineRule="auto"/>
              <w:rPr>
                <w:rFonts w:eastAsia="Times New Roman" w:cs="Times New Roman"/>
                <w:lang w:val="fr-FR"/>
              </w:rPr>
            </w:pPr>
            <w:r w:rsidRPr="00844659">
              <w:rPr>
                <w:rFonts w:eastAsia="Times New Roman" w:cs="Times New Roman"/>
                <w:lang w:val="fr-FR"/>
              </w:rPr>
              <w:t>Une augmentation des taxes sur le tabac a été associée à une baisse de la consommation ; toutefois, une proportion de consommateurs s'est tournée vers une forme de tabac produite localement, moins chère que les cigarettes importées.</w:t>
            </w:r>
          </w:p>
          <w:p w14:paraId="498C70AE" w14:textId="2946506F" w:rsidR="00844659" w:rsidRPr="00844659" w:rsidRDefault="00844659" w:rsidP="00F44E5B">
            <w:pPr>
              <w:pStyle w:val="NormalWeb"/>
              <w:numPr>
                <w:ilvl w:val="0"/>
                <w:numId w:val="9"/>
              </w:numPr>
              <w:spacing w:beforeLines="40" w:before="96" w:beforeAutospacing="0" w:afterLines="40" w:after="96" w:afterAutospacing="0"/>
              <w:ind w:right="69"/>
              <w:rPr>
                <w:sz w:val="22"/>
                <w:szCs w:val="22"/>
                <w:lang w:val="fr-FR"/>
              </w:rPr>
            </w:pPr>
            <w:r w:rsidRPr="00844659">
              <w:rPr>
                <w:rFonts w:hint="eastAsia"/>
                <w:sz w:val="22"/>
                <w:szCs w:val="22"/>
                <w:lang w:val="fr-FR"/>
              </w:rPr>
              <w:t>L'exemption de taxes sur les fruits et légumes n'a pas affecté les prix d'après les consommateurs.</w:t>
            </w:r>
          </w:p>
        </w:tc>
        <w:tc>
          <w:tcPr>
            <w:tcW w:w="1620" w:type="dxa"/>
          </w:tcPr>
          <w:p w14:paraId="67326CE2" w14:textId="77777777" w:rsidR="00844659" w:rsidRPr="00844659" w:rsidRDefault="00844659" w:rsidP="00F44E5B">
            <w:pPr>
              <w:pStyle w:val="NormalWeb"/>
              <w:spacing w:beforeLines="40" w:before="96" w:beforeAutospacing="0" w:afterLines="40" w:after="96" w:afterAutospacing="0"/>
              <w:rPr>
                <w:bCs/>
                <w:kern w:val="24"/>
                <w:sz w:val="22"/>
                <w:szCs w:val="22"/>
                <w:lang w:val="fr-FR"/>
              </w:rPr>
            </w:pPr>
            <w:r w:rsidRPr="00844659">
              <w:rPr>
                <w:bCs/>
                <w:kern w:val="24"/>
                <w:sz w:val="22"/>
                <w:szCs w:val="22"/>
                <w:lang w:val="fr-FR"/>
              </w:rPr>
              <w:t>Banque mondiale</w:t>
            </w:r>
          </w:p>
          <w:p w14:paraId="14880E8B" w14:textId="77777777" w:rsidR="00844659" w:rsidRPr="00844659" w:rsidRDefault="00844659" w:rsidP="00F44E5B">
            <w:pPr>
              <w:pStyle w:val="NormalWeb"/>
              <w:spacing w:beforeLines="40" w:before="96" w:beforeAutospacing="0" w:afterLines="40" w:after="96" w:afterAutospacing="0"/>
              <w:rPr>
                <w:bCs/>
                <w:kern w:val="24"/>
                <w:sz w:val="22"/>
                <w:szCs w:val="22"/>
                <w:lang w:val="fr-FR"/>
              </w:rPr>
            </w:pPr>
            <w:r w:rsidRPr="00844659">
              <w:rPr>
                <w:bCs/>
                <w:kern w:val="24"/>
                <w:sz w:val="22"/>
                <w:szCs w:val="22"/>
                <w:lang w:val="fr-FR"/>
              </w:rPr>
              <w:t>La Fondation pour la promotion de la santé des Tonga</w:t>
            </w:r>
          </w:p>
          <w:p w14:paraId="42A2A850" w14:textId="77777777" w:rsidR="00844659" w:rsidRPr="00844659" w:rsidRDefault="00844659" w:rsidP="00F44E5B">
            <w:pPr>
              <w:pStyle w:val="NormalWeb"/>
              <w:spacing w:beforeLines="40" w:before="96" w:beforeAutospacing="0" w:afterLines="40" w:after="96" w:afterAutospacing="0"/>
              <w:rPr>
                <w:bCs/>
                <w:kern w:val="24"/>
                <w:sz w:val="22"/>
                <w:szCs w:val="22"/>
              </w:rPr>
            </w:pPr>
            <w:r w:rsidRPr="00844659">
              <w:rPr>
                <w:bCs/>
                <w:kern w:val="24"/>
                <w:sz w:val="22"/>
                <w:szCs w:val="22"/>
              </w:rPr>
              <w:t>FAO</w:t>
            </w:r>
          </w:p>
          <w:p w14:paraId="751FD947" w14:textId="77777777" w:rsidR="00844659" w:rsidRPr="00844659" w:rsidRDefault="00844659" w:rsidP="00F44E5B">
            <w:pPr>
              <w:pStyle w:val="NormalWeb"/>
              <w:spacing w:beforeLines="40" w:before="96" w:beforeAutospacing="0" w:afterLines="40" w:after="96" w:afterAutospacing="0"/>
              <w:rPr>
                <w:bCs/>
                <w:kern w:val="24"/>
                <w:sz w:val="22"/>
                <w:szCs w:val="22"/>
              </w:rPr>
            </w:pPr>
            <w:r w:rsidRPr="00844659">
              <w:rPr>
                <w:bCs/>
                <w:kern w:val="24"/>
                <w:sz w:val="22"/>
                <w:szCs w:val="22"/>
              </w:rPr>
              <w:t>OMS</w:t>
            </w:r>
          </w:p>
          <w:p w14:paraId="61DF7F4A" w14:textId="77777777" w:rsidR="00844659" w:rsidRPr="00844659" w:rsidRDefault="00844659" w:rsidP="00F44E5B">
            <w:pPr>
              <w:pStyle w:val="NormalWeb"/>
              <w:spacing w:beforeLines="40" w:before="96" w:beforeAutospacing="0" w:afterLines="40" w:after="96" w:afterAutospacing="0"/>
              <w:rPr>
                <w:bCs/>
                <w:kern w:val="24"/>
                <w:sz w:val="22"/>
                <w:szCs w:val="22"/>
              </w:rPr>
            </w:pPr>
            <w:r w:rsidRPr="00844659">
              <w:rPr>
                <w:bCs/>
                <w:kern w:val="24"/>
                <w:sz w:val="22"/>
                <w:szCs w:val="22"/>
              </w:rPr>
              <w:t>DFAT</w:t>
            </w:r>
          </w:p>
          <w:p w14:paraId="56231585" w14:textId="77777777" w:rsidR="00844659" w:rsidRPr="00844659" w:rsidRDefault="00844659" w:rsidP="00F44E5B">
            <w:pPr>
              <w:pStyle w:val="NormalWeb"/>
              <w:spacing w:beforeLines="40" w:before="96" w:beforeAutospacing="0" w:afterLines="40" w:after="96" w:afterAutospacing="0"/>
              <w:rPr>
                <w:bCs/>
                <w:kern w:val="24"/>
                <w:sz w:val="22"/>
                <w:szCs w:val="22"/>
              </w:rPr>
            </w:pPr>
            <w:r w:rsidRPr="00844659">
              <w:rPr>
                <w:bCs/>
                <w:kern w:val="24"/>
                <w:sz w:val="22"/>
                <w:szCs w:val="22"/>
              </w:rPr>
              <w:t>MFAT</w:t>
            </w:r>
          </w:p>
          <w:p w14:paraId="292697D0" w14:textId="1AFD6EC7" w:rsidR="00844659" w:rsidRPr="007C3D52" w:rsidRDefault="00844659" w:rsidP="00F44E5B">
            <w:pPr>
              <w:pStyle w:val="NormalWeb"/>
              <w:spacing w:beforeLines="40" w:before="96" w:beforeAutospacing="0" w:afterLines="40" w:after="96" w:afterAutospacing="0"/>
              <w:rPr>
                <w:sz w:val="22"/>
                <w:szCs w:val="22"/>
              </w:rPr>
            </w:pPr>
            <w:r w:rsidRPr="00844659">
              <w:rPr>
                <w:bCs/>
                <w:kern w:val="24"/>
                <w:sz w:val="22"/>
                <w:szCs w:val="22"/>
              </w:rPr>
              <w:t>SPC</w:t>
            </w:r>
          </w:p>
        </w:tc>
      </w:tr>
      <w:tr w:rsidR="00F44E5B" w:rsidRPr="00F62E37" w14:paraId="34346040" w14:textId="77777777" w:rsidTr="008E2ED8">
        <w:tc>
          <w:tcPr>
            <w:tcW w:w="1440" w:type="dxa"/>
          </w:tcPr>
          <w:p w14:paraId="74C88D51" w14:textId="1FC448A3" w:rsidR="00F44E5B" w:rsidRPr="007C3D52" w:rsidRDefault="00F44E5B" w:rsidP="00F44E5B">
            <w:pPr>
              <w:pStyle w:val="NormalWeb"/>
              <w:spacing w:beforeLines="40" w:before="96" w:beforeAutospacing="0" w:afterLines="40" w:after="96" w:afterAutospacing="0"/>
              <w:rPr>
                <w:bCs/>
                <w:kern w:val="24"/>
                <w:sz w:val="22"/>
                <w:szCs w:val="22"/>
                <w:lang w:val="en-US"/>
              </w:rPr>
            </w:pPr>
            <w:r w:rsidRPr="006505AD">
              <w:t>Vanuatu</w:t>
            </w:r>
          </w:p>
        </w:tc>
        <w:tc>
          <w:tcPr>
            <w:tcW w:w="2250" w:type="dxa"/>
          </w:tcPr>
          <w:p w14:paraId="4CE25223" w14:textId="0E4F0CF7" w:rsidR="00F44E5B" w:rsidRPr="007C3D52" w:rsidRDefault="00F44E5B" w:rsidP="00F44E5B">
            <w:pPr>
              <w:pStyle w:val="NormalWeb"/>
              <w:spacing w:beforeLines="40" w:before="96" w:beforeAutospacing="0" w:afterLines="40" w:after="96" w:afterAutospacing="0"/>
              <w:rPr>
                <w:bCs/>
                <w:kern w:val="24"/>
                <w:sz w:val="22"/>
                <w:szCs w:val="22"/>
                <w:highlight w:val="yellow"/>
              </w:rPr>
            </w:pPr>
            <w:r w:rsidRPr="006505AD">
              <w:t xml:space="preserve">Aliments </w:t>
            </w:r>
            <w:proofErr w:type="spellStart"/>
            <w:r w:rsidRPr="006505AD">
              <w:t>transformés</w:t>
            </w:r>
            <w:proofErr w:type="spellEnd"/>
          </w:p>
        </w:tc>
        <w:tc>
          <w:tcPr>
            <w:tcW w:w="4950" w:type="dxa"/>
          </w:tcPr>
          <w:p w14:paraId="2175F058" w14:textId="6A5CFCDD" w:rsidR="00F44E5B" w:rsidRPr="00F44E5B" w:rsidRDefault="00F44E5B" w:rsidP="00F44E5B">
            <w:pPr>
              <w:pStyle w:val="NormalWeb"/>
              <w:spacing w:beforeLines="40" w:before="96" w:beforeAutospacing="0" w:afterLines="40" w:after="96" w:afterAutospacing="0"/>
              <w:ind w:right="69"/>
              <w:rPr>
                <w:sz w:val="22"/>
                <w:szCs w:val="22"/>
                <w:lang w:val="fr-FR"/>
              </w:rPr>
            </w:pPr>
            <w:r w:rsidRPr="00F44E5B">
              <w:rPr>
                <w:lang w:val="fr-FR"/>
              </w:rPr>
              <w:t xml:space="preserve">Le remplacement des cinq produits alimentaires emballés qui apportent le plus de calories, de graisses et de sel par des options plus saines pourrait favoriser une réduction du nombre de décès annuels </w:t>
            </w:r>
            <w:proofErr w:type="spellStart"/>
            <w:r w:rsidRPr="00F44E5B">
              <w:rPr>
                <w:lang w:val="fr-FR"/>
              </w:rPr>
              <w:t>dûs</w:t>
            </w:r>
            <w:proofErr w:type="spellEnd"/>
            <w:r w:rsidRPr="00F44E5B">
              <w:rPr>
                <w:lang w:val="fr-FR"/>
              </w:rPr>
              <w:t xml:space="preserve"> à des problèmes cardiovasculaires et liés au régime alimentaire, et pourrait potentiellement éviter ou retarder </w:t>
            </w:r>
            <w:r w:rsidRPr="00F44E5B">
              <w:rPr>
                <w:lang w:val="fr-FR"/>
              </w:rPr>
              <w:lastRenderedPageBreak/>
              <w:t xml:space="preserve">5,3 % des décès des adultes </w:t>
            </w:r>
            <w:proofErr w:type="spellStart"/>
            <w:r w:rsidRPr="00F44E5B">
              <w:rPr>
                <w:lang w:val="fr-FR"/>
              </w:rPr>
              <w:t>dûs</w:t>
            </w:r>
            <w:proofErr w:type="spellEnd"/>
            <w:r w:rsidRPr="00F44E5B">
              <w:rPr>
                <w:lang w:val="fr-FR"/>
              </w:rPr>
              <w:t xml:space="preserve"> à des MNT chaque année.</w:t>
            </w:r>
          </w:p>
        </w:tc>
        <w:tc>
          <w:tcPr>
            <w:tcW w:w="1620" w:type="dxa"/>
          </w:tcPr>
          <w:p w14:paraId="44921B76" w14:textId="77777777" w:rsidR="00F44E5B" w:rsidRPr="007C3D52" w:rsidRDefault="00F44E5B" w:rsidP="00F44E5B">
            <w:pPr>
              <w:pStyle w:val="NormalWeb"/>
              <w:spacing w:beforeLines="40" w:before="96" w:beforeAutospacing="0" w:afterLines="40" w:after="96" w:afterAutospacing="0"/>
              <w:rPr>
                <w:bCs/>
                <w:kern w:val="24"/>
                <w:sz w:val="22"/>
                <w:szCs w:val="22"/>
              </w:rPr>
            </w:pPr>
            <w:r w:rsidRPr="007C3D52">
              <w:rPr>
                <w:bCs/>
                <w:kern w:val="24"/>
                <w:sz w:val="22"/>
                <w:szCs w:val="22"/>
              </w:rPr>
              <w:lastRenderedPageBreak/>
              <w:t>FAO</w:t>
            </w:r>
          </w:p>
        </w:tc>
      </w:tr>
      <w:tr w:rsidR="00F44E5B" w:rsidRPr="00F44E5B" w14:paraId="328E4A6A" w14:textId="77777777" w:rsidTr="008E2ED8">
        <w:tc>
          <w:tcPr>
            <w:tcW w:w="1440" w:type="dxa"/>
          </w:tcPr>
          <w:p w14:paraId="585D3DAE" w14:textId="3B5E2FC3" w:rsidR="00F44E5B" w:rsidRPr="007C3D52" w:rsidRDefault="00F44E5B" w:rsidP="00F44E5B">
            <w:pPr>
              <w:pStyle w:val="NormalWeb"/>
              <w:spacing w:beforeLines="40" w:before="96" w:beforeAutospacing="0" w:afterLines="40" w:after="96" w:afterAutospacing="0"/>
              <w:rPr>
                <w:bCs/>
                <w:kern w:val="24"/>
                <w:sz w:val="22"/>
                <w:szCs w:val="22"/>
                <w:lang w:val="en-US"/>
              </w:rPr>
            </w:pPr>
            <w:r w:rsidRPr="0093453C">
              <w:lastRenderedPageBreak/>
              <w:t>Vanuatu</w:t>
            </w:r>
          </w:p>
        </w:tc>
        <w:tc>
          <w:tcPr>
            <w:tcW w:w="2250" w:type="dxa"/>
          </w:tcPr>
          <w:p w14:paraId="0C143287" w14:textId="6ECFB53C" w:rsidR="00F44E5B" w:rsidRPr="0058123E" w:rsidRDefault="00F44E5B" w:rsidP="00F44E5B">
            <w:pPr>
              <w:pStyle w:val="NormalWeb"/>
              <w:spacing w:beforeLines="40" w:before="96" w:beforeAutospacing="0" w:afterLines="40" w:after="96" w:afterAutospacing="0"/>
              <w:rPr>
                <w:bCs/>
                <w:kern w:val="24"/>
                <w:sz w:val="22"/>
                <w:szCs w:val="22"/>
              </w:rPr>
            </w:pPr>
            <w:proofErr w:type="spellStart"/>
            <w:r w:rsidRPr="0093453C">
              <w:t>Tabac</w:t>
            </w:r>
            <w:proofErr w:type="spellEnd"/>
          </w:p>
        </w:tc>
        <w:tc>
          <w:tcPr>
            <w:tcW w:w="4950" w:type="dxa"/>
          </w:tcPr>
          <w:p w14:paraId="7DE3113F" w14:textId="4E2CC3B9" w:rsidR="00F44E5B" w:rsidRPr="00F44E5B" w:rsidRDefault="00F44E5B" w:rsidP="00F44E5B">
            <w:pPr>
              <w:pStyle w:val="NormalWeb"/>
              <w:spacing w:beforeLines="40" w:before="96" w:beforeAutospacing="0" w:afterLines="40" w:after="96" w:afterAutospacing="0"/>
              <w:ind w:right="69"/>
              <w:rPr>
                <w:sz w:val="22"/>
                <w:szCs w:val="22"/>
                <w:lang w:val="fr-FR"/>
              </w:rPr>
            </w:pPr>
            <w:r w:rsidRPr="00F44E5B">
              <w:rPr>
                <w:sz w:val="22"/>
                <w:szCs w:val="22"/>
                <w:lang w:val="fr-FR"/>
              </w:rPr>
              <w:t>Trois politiques alternatives évaluées : Augmenter le droit d'accise par 30 % ou 20 % ou 10 % annuels + taux de croissance du revenu + taux d'inflation +2 % de surtaxe</w:t>
            </w:r>
          </w:p>
          <w:p w14:paraId="6AE49597" w14:textId="4E646B1F" w:rsidR="00F44E5B" w:rsidRPr="00F44E5B" w:rsidRDefault="00BF761C" w:rsidP="00F44E5B">
            <w:pPr>
              <w:pStyle w:val="ListParagraph"/>
              <w:numPr>
                <w:ilvl w:val="0"/>
                <w:numId w:val="6"/>
              </w:numPr>
              <w:spacing w:after="0" w:line="240" w:lineRule="auto"/>
              <w:rPr>
                <w:rFonts w:eastAsia="Times New Roman" w:cs="Times New Roman"/>
                <w:lang w:val="fr-FR"/>
              </w:rPr>
            </w:pPr>
            <w:r w:rsidRPr="00F44E5B">
              <w:rPr>
                <w:rFonts w:eastAsia="Times New Roman" w:cs="Times New Roman"/>
                <w:lang w:val="fr-FR"/>
              </w:rPr>
              <w:t>S'attendre</w:t>
            </w:r>
            <w:r w:rsidR="00F44E5B" w:rsidRPr="00F44E5B">
              <w:rPr>
                <w:rFonts w:eastAsia="Times New Roman" w:cs="Times New Roman"/>
                <w:lang w:val="fr-FR"/>
              </w:rPr>
              <w:t xml:space="preserve"> à voir 19 %, 14 % et 10 % respectivement d'augmentation du total des recettes fiscales.</w:t>
            </w:r>
          </w:p>
          <w:p w14:paraId="687C1A66" w14:textId="1078800F" w:rsidR="00F44E5B" w:rsidRPr="00F44E5B" w:rsidRDefault="00F44E5B" w:rsidP="00F44E5B">
            <w:pPr>
              <w:pStyle w:val="NormalWeb"/>
              <w:numPr>
                <w:ilvl w:val="0"/>
                <w:numId w:val="6"/>
              </w:numPr>
              <w:spacing w:beforeLines="40" w:before="96" w:beforeAutospacing="0" w:afterLines="40" w:after="96" w:afterAutospacing="0"/>
              <w:ind w:right="69"/>
              <w:rPr>
                <w:sz w:val="22"/>
                <w:szCs w:val="22"/>
                <w:lang w:val="fr-FR"/>
              </w:rPr>
            </w:pPr>
            <w:r w:rsidRPr="00F44E5B">
              <w:rPr>
                <w:rFonts w:hint="eastAsia"/>
                <w:sz w:val="22"/>
                <w:szCs w:val="22"/>
                <w:lang w:val="fr-FR"/>
              </w:rPr>
              <w:t>Augmenter le droit d'accise sur les cigarettes au cours des prochaines années de manière à fabriquer des cigarettes plus abordables.</w:t>
            </w:r>
          </w:p>
        </w:tc>
        <w:tc>
          <w:tcPr>
            <w:tcW w:w="1620" w:type="dxa"/>
          </w:tcPr>
          <w:p w14:paraId="7C0DA560" w14:textId="248A0BD0" w:rsidR="00F44E5B" w:rsidRPr="00F44E5B" w:rsidRDefault="00F44E5B" w:rsidP="00F44E5B">
            <w:pPr>
              <w:pStyle w:val="NormalWeb"/>
              <w:spacing w:beforeLines="40" w:before="96" w:beforeAutospacing="0" w:afterLines="40" w:after="96" w:afterAutospacing="0"/>
              <w:jc w:val="left"/>
              <w:rPr>
                <w:bCs/>
                <w:kern w:val="24"/>
                <w:sz w:val="22"/>
                <w:szCs w:val="22"/>
                <w:lang w:val="fr-FR"/>
              </w:rPr>
            </w:pPr>
            <w:r w:rsidRPr="00F44E5B">
              <w:rPr>
                <w:bCs/>
                <w:kern w:val="24"/>
                <w:sz w:val="22"/>
                <w:szCs w:val="22"/>
                <w:lang w:val="fr-FR"/>
              </w:rPr>
              <w:t>OMS (Centre de connaissance de l'OMS sous l'égide de la Convention–cadre de l’OMS pour la lutte antitabac)</w:t>
            </w:r>
          </w:p>
        </w:tc>
      </w:tr>
    </w:tbl>
    <w:p w14:paraId="17C985C6" w14:textId="77777777" w:rsidR="0072348E" w:rsidRPr="00F44E5B" w:rsidRDefault="0072348E" w:rsidP="00684DAE">
      <w:pPr>
        <w:spacing w:after="120" w:line="240" w:lineRule="auto"/>
        <w:rPr>
          <w:rFonts w:cs="Times New Roman"/>
          <w:lang w:val="fr-FR"/>
        </w:rPr>
      </w:pPr>
    </w:p>
    <w:p w14:paraId="291DB86D" w14:textId="77777777" w:rsidR="0041359E" w:rsidRPr="006C6C1C" w:rsidRDefault="0041359E" w:rsidP="00684DAE">
      <w:pPr>
        <w:spacing w:after="0" w:line="240" w:lineRule="auto"/>
        <w:rPr>
          <w:rFonts w:eastAsia="Times New Roman" w:cs="Times New Roman"/>
          <w:color w:val="555555"/>
          <w:sz w:val="18"/>
          <w:szCs w:val="18"/>
          <w:shd w:val="clear" w:color="auto" w:fill="FFFFFF"/>
          <w:lang w:val="en-US" w:eastAsia="en-US"/>
        </w:rPr>
      </w:pPr>
      <w:r w:rsidRPr="006C6C1C">
        <w:rPr>
          <w:rFonts w:eastAsia="Times New Roman" w:cs="Times New Roman"/>
          <w:color w:val="555555"/>
          <w:sz w:val="18"/>
          <w:szCs w:val="18"/>
          <w:shd w:val="clear" w:color="auto" w:fill="FFFFFF"/>
          <w:lang w:val="en-US" w:eastAsia="en-US"/>
        </w:rPr>
        <w:t>C-POND, Pacific Research Center for the Prevention of Obesity and Non-Communicable Diseases; DFAT, Department of Foreign Affairs and Trade (Australia); FAO, Food and Agriculture Organization of the United Nations; FCTC, Framework Convention on Tobacco Control; FNU, Fiji National University; MFAT, Ministry of Foreign Affairs and Trade (New Zealand); SPC, The Pacific Community; WHO, World Health Organization.</w:t>
      </w:r>
    </w:p>
    <w:p w14:paraId="7438E99D" w14:textId="77777777" w:rsidR="0041359E" w:rsidRDefault="0041359E" w:rsidP="00684DAE">
      <w:pPr>
        <w:spacing w:after="0" w:line="240" w:lineRule="auto"/>
        <w:rPr>
          <w:rFonts w:eastAsia="Times New Roman" w:cs="Times New Roman"/>
          <w:sz w:val="24"/>
          <w:szCs w:val="24"/>
          <w:lang w:val="en-US" w:eastAsia="en-US"/>
        </w:rPr>
      </w:pPr>
    </w:p>
    <w:p w14:paraId="466718D5" w14:textId="77777777" w:rsidR="00E753DE" w:rsidRPr="00F62E37" w:rsidRDefault="00E753DE" w:rsidP="00684DAE">
      <w:pPr>
        <w:spacing w:after="120" w:line="240" w:lineRule="auto"/>
        <w:ind w:firstLine="720"/>
        <w:rPr>
          <w:rFonts w:cs="Times New Roman"/>
        </w:rPr>
      </w:pPr>
    </w:p>
    <w:sectPr w:rsidR="00E753DE" w:rsidRPr="00F62E37" w:rsidSect="001D513D">
      <w:headerReference w:type="even" r:id="rId11"/>
      <w:headerReference w:type="default" r:id="rId12"/>
      <w:headerReference w:type="first" r:id="rId13"/>
      <w:footerReference w:type="first" r:id="rId14"/>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307353" w15:done="0"/>
  <w15:commentEx w15:paraId="69C53016" w15:done="0"/>
  <w15:commentEx w15:paraId="4CD29C6D" w15:done="0"/>
  <w15:commentEx w15:paraId="46C7D2AC" w15:done="0"/>
  <w15:commentEx w15:paraId="7AE9D8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307353" w16cid:durableId="20A76AC8"/>
  <w16cid:commentId w16cid:paraId="69C53016" w16cid:durableId="20A76AC9"/>
  <w16cid:commentId w16cid:paraId="4CD29C6D" w16cid:durableId="20A76ACA"/>
  <w16cid:commentId w16cid:paraId="46C7D2AC" w16cid:durableId="20A76ACB"/>
  <w16cid:commentId w16cid:paraId="7AE9D87D" w16cid:durableId="20A76A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A6105" w14:textId="77777777" w:rsidR="00BC4346" w:rsidRDefault="00BC4346" w:rsidP="00DC6979">
      <w:pPr>
        <w:spacing w:after="0" w:line="240" w:lineRule="auto"/>
      </w:pPr>
      <w:r>
        <w:separator/>
      </w:r>
    </w:p>
  </w:endnote>
  <w:endnote w:type="continuationSeparator" w:id="0">
    <w:p w14:paraId="6C92C1EE" w14:textId="77777777" w:rsidR="00BC4346" w:rsidRDefault="00BC4346"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949E4" w14:textId="77777777" w:rsidR="000F2B01" w:rsidRDefault="000F2B01" w:rsidP="00BD60F7">
    <w:pPr>
      <w:pStyle w:val="Footer"/>
      <w:pBdr>
        <w:top w:val="single" w:sz="4" w:space="1" w:color="D9D9D9" w:themeColor="background1" w:themeShade="D9"/>
      </w:pBdr>
      <w:rPr>
        <w:b/>
        <w:bCs/>
      </w:rPr>
    </w:pPr>
  </w:p>
  <w:p w14:paraId="00047F2E" w14:textId="77777777" w:rsidR="000F2B01" w:rsidRDefault="000F2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1FDDC" w14:textId="77777777" w:rsidR="00BC4346" w:rsidRDefault="00BC4346" w:rsidP="00DC6979">
      <w:pPr>
        <w:spacing w:after="0" w:line="240" w:lineRule="auto"/>
      </w:pPr>
      <w:r>
        <w:separator/>
      </w:r>
    </w:p>
  </w:footnote>
  <w:footnote w:type="continuationSeparator" w:id="0">
    <w:p w14:paraId="053B6AAF" w14:textId="77777777" w:rsidR="00BC4346" w:rsidRDefault="00BC4346" w:rsidP="00DC6979">
      <w:pPr>
        <w:spacing w:after="0" w:line="240" w:lineRule="auto"/>
      </w:pPr>
      <w:r>
        <w:continuationSeparator/>
      </w:r>
    </w:p>
  </w:footnote>
  <w:footnote w:id="1">
    <w:p w14:paraId="52F10187" w14:textId="7D03A9E5" w:rsidR="000E2B87" w:rsidRPr="000E2B87" w:rsidRDefault="000E2B87" w:rsidP="00C67631">
      <w:pPr>
        <w:pStyle w:val="FootnoteText"/>
        <w:rPr>
          <w:rFonts w:asciiTheme="minorHAnsi" w:hAnsiTheme="minorHAnsi"/>
          <w:sz w:val="18"/>
          <w:szCs w:val="18"/>
          <w:lang w:val="fr-FR"/>
        </w:rPr>
      </w:pPr>
      <w:r w:rsidRPr="000E2B87">
        <w:rPr>
          <w:rStyle w:val="FootnoteReference"/>
          <w:rFonts w:asciiTheme="minorHAnsi" w:hAnsiTheme="minorHAnsi"/>
          <w:sz w:val="18"/>
          <w:szCs w:val="18"/>
        </w:rPr>
        <w:footnoteRef/>
      </w:r>
      <w:r w:rsidRPr="000E2B87">
        <w:rPr>
          <w:rFonts w:asciiTheme="minorHAnsi" w:hAnsiTheme="minorHAnsi"/>
          <w:sz w:val="18"/>
          <w:szCs w:val="18"/>
          <w:lang w:val="fr-FR"/>
        </w:rPr>
        <w:t xml:space="preserve"> Système fiscal uniforme : Une taxe sur des produits de même catégorie (par exemple des produits sous le même système de codes harmonisé au centième de point) au même taux.</w:t>
      </w:r>
    </w:p>
  </w:footnote>
  <w:footnote w:id="2">
    <w:p w14:paraId="373FD925" w14:textId="3E4B62A9" w:rsidR="000E2B87" w:rsidRPr="000E2B87" w:rsidRDefault="000E2B87" w:rsidP="00C67631">
      <w:pPr>
        <w:pStyle w:val="FootnoteText"/>
        <w:rPr>
          <w:lang w:val="fr-FR"/>
        </w:rPr>
      </w:pPr>
      <w:r w:rsidRPr="000E2B87">
        <w:rPr>
          <w:rStyle w:val="FootnoteReference"/>
          <w:rFonts w:asciiTheme="minorHAnsi" w:hAnsiTheme="minorHAnsi"/>
          <w:sz w:val="18"/>
          <w:szCs w:val="18"/>
        </w:rPr>
        <w:footnoteRef/>
      </w:r>
      <w:r w:rsidRPr="000E2B87">
        <w:rPr>
          <w:rFonts w:asciiTheme="minorHAnsi" w:hAnsiTheme="minorHAnsi"/>
          <w:sz w:val="18"/>
          <w:szCs w:val="18"/>
          <w:lang w:val="fr-FR"/>
        </w:rPr>
        <w:t xml:space="preserve"> Taxe spécifique : Une taxe basée sur le volume de produit et pas la valeur déterminée par le fabricant/importateur.</w:t>
      </w:r>
    </w:p>
  </w:footnote>
  <w:footnote w:id="3">
    <w:p w14:paraId="24759D86" w14:textId="114FAB41" w:rsidR="009D5C2E" w:rsidRPr="00235483" w:rsidRDefault="00235483">
      <w:pPr>
        <w:pStyle w:val="FootnoteText"/>
        <w:rPr>
          <w:rFonts w:asciiTheme="minorHAnsi" w:hAnsiTheme="minorHAnsi"/>
          <w:sz w:val="18"/>
          <w:szCs w:val="18"/>
          <w:lang w:val="fr-FR"/>
        </w:rPr>
      </w:pPr>
      <w:r w:rsidRPr="00235483">
        <w:rPr>
          <w:rStyle w:val="FootnoteReference"/>
          <w:rFonts w:asciiTheme="minorHAnsi" w:hAnsiTheme="minorHAnsi"/>
          <w:sz w:val="18"/>
          <w:szCs w:val="18"/>
        </w:rPr>
        <w:footnoteRef/>
      </w:r>
      <w:r w:rsidRPr="00235483">
        <w:rPr>
          <w:rFonts w:asciiTheme="minorHAnsi" w:hAnsiTheme="minorHAnsi"/>
          <w:sz w:val="18"/>
          <w:szCs w:val="18"/>
          <w:lang w:val="fr-FR"/>
        </w:rPr>
        <w:t xml:space="preserve"> Les politiques fiscales incitatives en matière d'alimentation et de prévention des maladies non transmissibles : rapport de la réunion technique, 5 au 6 mai 2015, Genève, Suisse. Genève : Organisation mondiale de la Santé ; 2015 (</w:t>
      </w:r>
      <w:hyperlink r:id="rId1" w:history="1">
        <w:r w:rsidR="009D5C2E" w:rsidRPr="00F420E2">
          <w:rPr>
            <w:rStyle w:val="Hyperlink"/>
            <w:rFonts w:asciiTheme="minorHAnsi" w:hAnsiTheme="minorHAnsi"/>
            <w:sz w:val="18"/>
            <w:szCs w:val="18"/>
            <w:lang w:val="fr-FR"/>
          </w:rPr>
          <w:t>https://www.who.int/dietphysicalactivity/publications/fiscal-policies-diet-prevention/en/</w:t>
        </w:r>
      </w:hyperlink>
      <w:r w:rsidRPr="00235483">
        <w:rPr>
          <w:rFonts w:asciiTheme="minorHAnsi" w:hAnsiTheme="minorHAnsi"/>
          <w:sz w:val="18"/>
          <w:szCs w:val="18"/>
          <w:lang w:val="fr-FR"/>
        </w:rPr>
        <w:t>).</w:t>
      </w:r>
    </w:p>
  </w:footnote>
  <w:footnote w:id="4">
    <w:p w14:paraId="3DEF772F" w14:textId="184FD7C7" w:rsidR="00617664" w:rsidRPr="00617664" w:rsidRDefault="00617664">
      <w:pPr>
        <w:pStyle w:val="FootnoteText"/>
        <w:rPr>
          <w:lang w:val="fr-FR"/>
        </w:rPr>
      </w:pPr>
      <w:r>
        <w:rPr>
          <w:rStyle w:val="FootnoteReference"/>
        </w:rPr>
        <w:footnoteRef/>
      </w:r>
      <w:r w:rsidRPr="00617664">
        <w:rPr>
          <w:lang w:val="fr-FR"/>
        </w:rPr>
        <w:t xml:space="preserve"> </w:t>
      </w:r>
      <w:r w:rsidRPr="00235483">
        <w:rPr>
          <w:rFonts w:asciiTheme="minorHAnsi" w:hAnsiTheme="minorHAnsi"/>
          <w:sz w:val="18"/>
          <w:szCs w:val="18"/>
          <w:lang w:val="fr-FR"/>
        </w:rPr>
        <w:t>Accaparement : Pratique qui consiste à anticiper une augmentation de taxe en stockant les produits afin de les vendre à une date ultérieure en dégageant un profit plus important. Dans le cas présent, les acteurs concernés procèdent à la concentration des dépenses liées à l'importation ou à la fabrication de produits afin d'éviter les augmentations de taxes anticipées et maximiser les profits.</w:t>
      </w:r>
    </w:p>
  </w:footnote>
  <w:footnote w:id="5">
    <w:p w14:paraId="7C3F2EA7" w14:textId="30724EAA" w:rsidR="0098207F" w:rsidRPr="009F3A1C" w:rsidRDefault="0098207F" w:rsidP="00974A33">
      <w:pPr>
        <w:pStyle w:val="FootnoteText"/>
        <w:rPr>
          <w:rFonts w:asciiTheme="minorHAnsi" w:hAnsiTheme="minorHAnsi"/>
          <w:sz w:val="18"/>
          <w:szCs w:val="18"/>
          <w:lang w:val="fr-FR"/>
        </w:rPr>
      </w:pPr>
      <w:r w:rsidRPr="009F3A1C">
        <w:rPr>
          <w:rStyle w:val="FootnoteReference"/>
          <w:rFonts w:asciiTheme="minorHAnsi" w:hAnsiTheme="minorHAnsi"/>
          <w:sz w:val="18"/>
          <w:szCs w:val="18"/>
        </w:rPr>
        <w:footnoteRef/>
      </w:r>
      <w:r w:rsidRPr="009F3A1C">
        <w:rPr>
          <w:rFonts w:asciiTheme="minorHAnsi" w:hAnsiTheme="minorHAnsi"/>
          <w:sz w:val="18"/>
          <w:szCs w:val="18"/>
          <w:lang w:val="fr-FR"/>
        </w:rPr>
        <w:t xml:space="preserve"> </w:t>
      </w:r>
      <w:r w:rsidR="00974A33" w:rsidRPr="009F3A1C">
        <w:rPr>
          <w:rFonts w:asciiTheme="minorHAnsi" w:hAnsiTheme="minorHAnsi"/>
          <w:sz w:val="18"/>
          <w:szCs w:val="18"/>
          <w:lang w:val="fr-FR"/>
        </w:rPr>
        <w:t>L'industrie du tabac inclut les fabricants et les importateurs de tabac et de produits du tabac.</w:t>
      </w:r>
    </w:p>
  </w:footnote>
  <w:footnote w:id="6">
    <w:p w14:paraId="670CAB07" w14:textId="314C3BDA" w:rsidR="00FB2E88" w:rsidRPr="00FB2E88" w:rsidRDefault="00FB2E88">
      <w:pPr>
        <w:pStyle w:val="FootnoteText"/>
        <w:rPr>
          <w:lang w:val="fr-FR"/>
        </w:rPr>
      </w:pPr>
      <w:r w:rsidRPr="009F3A1C">
        <w:rPr>
          <w:rStyle w:val="FootnoteReference"/>
          <w:rFonts w:asciiTheme="minorHAnsi" w:hAnsiTheme="minorHAnsi"/>
          <w:sz w:val="18"/>
          <w:szCs w:val="18"/>
        </w:rPr>
        <w:footnoteRef/>
      </w:r>
      <w:r w:rsidRPr="009F3A1C">
        <w:rPr>
          <w:rFonts w:asciiTheme="minorHAnsi" w:hAnsiTheme="minorHAnsi"/>
          <w:sz w:val="18"/>
          <w:szCs w:val="18"/>
          <w:lang w:val="fr-FR"/>
        </w:rPr>
        <w:t xml:space="preserve"> Substitution: </w:t>
      </w:r>
      <w:r w:rsidR="009F3A1C">
        <w:rPr>
          <w:rFonts w:asciiTheme="minorHAnsi" w:hAnsiTheme="minorHAnsi"/>
          <w:sz w:val="18"/>
          <w:szCs w:val="18"/>
          <w:lang w:val="fr-FR"/>
        </w:rPr>
        <w:t xml:space="preserve">Un </w:t>
      </w:r>
      <w:r w:rsidRPr="009F3A1C">
        <w:rPr>
          <w:rFonts w:asciiTheme="minorHAnsi" w:hAnsiTheme="minorHAnsi"/>
          <w:sz w:val="18"/>
          <w:szCs w:val="18"/>
          <w:lang w:val="fr-FR"/>
        </w:rPr>
        <w:t>effet provoqué par une hausse des prix incitant u</w:t>
      </w:r>
      <w:r w:rsidR="009F3A1C">
        <w:rPr>
          <w:rFonts w:asciiTheme="minorHAnsi" w:hAnsiTheme="minorHAnsi"/>
          <w:sz w:val="18"/>
          <w:szCs w:val="18"/>
          <w:lang w:val="fr-FR"/>
        </w:rPr>
        <w:t>n consommateur (dont le revenu reste</w:t>
      </w:r>
      <w:r w:rsidRPr="009F3A1C">
        <w:rPr>
          <w:rFonts w:asciiTheme="minorHAnsi" w:hAnsiTheme="minorHAnsi"/>
          <w:sz w:val="18"/>
          <w:szCs w:val="18"/>
          <w:lang w:val="fr-FR"/>
        </w:rPr>
        <w:t xml:space="preserve"> le même) à acheter </w:t>
      </w:r>
      <w:r w:rsidR="002857C4">
        <w:rPr>
          <w:rFonts w:asciiTheme="minorHAnsi" w:hAnsiTheme="minorHAnsi"/>
          <w:sz w:val="18"/>
          <w:szCs w:val="18"/>
          <w:lang w:val="fr-FR"/>
        </w:rPr>
        <w:t xml:space="preserve">plus </w:t>
      </w:r>
      <w:r w:rsidRPr="009F3A1C">
        <w:rPr>
          <w:rFonts w:asciiTheme="minorHAnsi" w:hAnsiTheme="minorHAnsi"/>
          <w:sz w:val="18"/>
          <w:szCs w:val="18"/>
          <w:lang w:val="fr-FR"/>
        </w:rPr>
        <w:t xml:space="preserve">un </w:t>
      </w:r>
      <w:r w:rsidR="009F3A1C">
        <w:rPr>
          <w:rFonts w:asciiTheme="minorHAnsi" w:hAnsiTheme="minorHAnsi"/>
          <w:sz w:val="18"/>
          <w:szCs w:val="18"/>
          <w:lang w:val="fr-FR"/>
        </w:rPr>
        <w:t>produit au</w:t>
      </w:r>
      <w:r w:rsidRPr="009F3A1C">
        <w:rPr>
          <w:rFonts w:asciiTheme="minorHAnsi" w:hAnsiTheme="minorHAnsi"/>
          <w:sz w:val="18"/>
          <w:szCs w:val="18"/>
          <w:lang w:val="fr-FR"/>
        </w:rPr>
        <w:t xml:space="preserve"> prix relativement bas et moins </w:t>
      </w:r>
      <w:r w:rsidR="009F3A1C">
        <w:rPr>
          <w:rFonts w:asciiTheme="minorHAnsi" w:hAnsiTheme="minorHAnsi"/>
          <w:sz w:val="18"/>
          <w:szCs w:val="18"/>
          <w:lang w:val="fr-FR"/>
        </w:rPr>
        <w:t xml:space="preserve">qu'un produit au </w:t>
      </w:r>
      <w:r w:rsidRPr="009F3A1C">
        <w:rPr>
          <w:rFonts w:asciiTheme="minorHAnsi" w:hAnsiTheme="minorHAnsi"/>
          <w:sz w:val="18"/>
          <w:szCs w:val="18"/>
          <w:lang w:val="fr-FR"/>
        </w:rPr>
        <w:t>prix plus élevé.</w:t>
      </w:r>
    </w:p>
  </w:footnote>
  <w:footnote w:id="7">
    <w:p w14:paraId="0C669236" w14:textId="0D3C16C8" w:rsidR="008C5573" w:rsidRPr="008C5573" w:rsidRDefault="008C5573">
      <w:pPr>
        <w:pStyle w:val="FootnoteText"/>
        <w:rPr>
          <w:lang w:val="fr-FR"/>
        </w:rPr>
      </w:pPr>
      <w:r>
        <w:rPr>
          <w:rStyle w:val="FootnoteReference"/>
        </w:rPr>
        <w:footnoteRef/>
      </w:r>
      <w:r w:rsidRPr="008C5573">
        <w:rPr>
          <w:lang w:val="fr-FR"/>
        </w:rPr>
        <w:t xml:space="preserve"> </w:t>
      </w:r>
      <w:r w:rsidRPr="008C5573">
        <w:rPr>
          <w:rFonts w:asciiTheme="minorHAnsi" w:hAnsiTheme="minorHAnsi" w:cstheme="minorHAnsi"/>
          <w:sz w:val="18"/>
          <w:szCs w:val="18"/>
          <w:lang w:val="fr-FR"/>
        </w:rPr>
        <w:t xml:space="preserve">Vu qu'aucune donnée </w:t>
      </w:r>
      <w:r>
        <w:rPr>
          <w:rFonts w:asciiTheme="minorHAnsi" w:hAnsiTheme="minorHAnsi" w:cstheme="minorHAnsi"/>
          <w:sz w:val="18"/>
          <w:szCs w:val="18"/>
          <w:lang w:val="fr-FR"/>
        </w:rPr>
        <w:t>n'a</w:t>
      </w:r>
      <w:r w:rsidRPr="008C5573">
        <w:rPr>
          <w:rFonts w:asciiTheme="minorHAnsi" w:hAnsiTheme="minorHAnsi" w:cstheme="minorHAnsi"/>
          <w:sz w:val="18"/>
          <w:szCs w:val="18"/>
          <w:lang w:val="fr-FR"/>
        </w:rPr>
        <w:t xml:space="preserve"> été observée en 2018, ce chiffre représente les quantit</w:t>
      </w:r>
      <w:r>
        <w:rPr>
          <w:rFonts w:asciiTheme="minorHAnsi" w:hAnsiTheme="minorHAnsi" w:cstheme="minorHAnsi"/>
          <w:sz w:val="18"/>
          <w:szCs w:val="18"/>
          <w:lang w:val="fr-FR"/>
        </w:rPr>
        <w:t>és de 2017</w:t>
      </w:r>
      <w:r w:rsidRPr="008C5573">
        <w:rPr>
          <w:rFonts w:asciiTheme="minorHAnsi" w:hAnsiTheme="minorHAnsi" w:cstheme="minorHAnsi"/>
          <w:sz w:val="18"/>
          <w:szCs w:val="18"/>
          <w:lang w:val="fr-FR"/>
        </w:rPr>
        <w:t xml:space="preserve"> </w:t>
      </w:r>
    </w:p>
  </w:footnote>
  <w:footnote w:id="8">
    <w:p w14:paraId="4242F96B" w14:textId="23503673" w:rsidR="00844659" w:rsidRPr="00844659" w:rsidRDefault="00844659">
      <w:pPr>
        <w:pStyle w:val="FootnoteText"/>
        <w:rPr>
          <w:lang w:val="fr-FR"/>
        </w:rPr>
      </w:pPr>
      <w:r>
        <w:rPr>
          <w:rStyle w:val="FootnoteReference"/>
        </w:rPr>
        <w:footnoteRef/>
      </w:r>
      <w:r w:rsidRPr="00844659">
        <w:rPr>
          <w:lang w:val="fr-FR"/>
        </w:rPr>
        <w:t xml:space="preserve"> </w:t>
      </w:r>
      <w:r w:rsidRPr="00844659">
        <w:rPr>
          <w:rFonts w:asciiTheme="minorHAnsi" w:hAnsiTheme="minorHAnsi" w:cstheme="minorHAnsi"/>
          <w:sz w:val="18"/>
          <w:szCs w:val="18"/>
          <w:lang w:val="fr-FR"/>
        </w:rPr>
        <w:t>Pr</w:t>
      </w:r>
      <w:r w:rsidR="00057A2D">
        <w:rPr>
          <w:rFonts w:asciiTheme="minorHAnsi" w:hAnsiTheme="minorHAnsi" w:cstheme="minorHAnsi"/>
          <w:sz w:val="18"/>
          <w:szCs w:val="18"/>
          <w:lang w:val="fr-FR"/>
        </w:rPr>
        <w:t xml:space="preserve">ésentation à partir de la Banque mondiale à </w:t>
      </w:r>
      <w:proofErr w:type="spellStart"/>
      <w:r w:rsidR="00057A2D">
        <w:rPr>
          <w:rFonts w:asciiTheme="minorHAnsi" w:hAnsiTheme="minorHAnsi" w:cstheme="minorHAnsi"/>
          <w:sz w:val="18"/>
          <w:szCs w:val="18"/>
          <w:lang w:val="fr-FR"/>
        </w:rPr>
        <w:t>Nuku’alofa</w:t>
      </w:r>
      <w:proofErr w:type="spellEnd"/>
      <w:r w:rsidR="00057A2D">
        <w:rPr>
          <w:rFonts w:asciiTheme="minorHAnsi" w:hAnsiTheme="minorHAnsi" w:cstheme="minorHAnsi"/>
          <w:sz w:val="18"/>
          <w:szCs w:val="18"/>
          <w:lang w:val="fr-FR"/>
        </w:rPr>
        <w:t xml:space="preserve"> le</w:t>
      </w:r>
      <w:r w:rsidRPr="00844659">
        <w:rPr>
          <w:rFonts w:asciiTheme="minorHAnsi" w:hAnsiTheme="minorHAnsi" w:cstheme="minorHAnsi"/>
          <w:sz w:val="18"/>
          <w:szCs w:val="18"/>
          <w:lang w:val="fr-FR"/>
        </w:rPr>
        <w:t xml:space="preserve"> 3 </w:t>
      </w:r>
      <w:r w:rsidR="00057A2D">
        <w:rPr>
          <w:rFonts w:asciiTheme="minorHAnsi" w:hAnsiTheme="minorHAnsi" w:cstheme="minorHAnsi"/>
          <w:sz w:val="18"/>
          <w:szCs w:val="18"/>
          <w:lang w:val="fr-FR"/>
        </w:rPr>
        <w:t>septembre</w:t>
      </w:r>
      <w:r w:rsidRPr="00844659">
        <w:rPr>
          <w:rFonts w:asciiTheme="minorHAnsi" w:hAnsiTheme="minorHAnsi" w:cstheme="minorHAnsi"/>
          <w:sz w:val="18"/>
          <w:szCs w:val="18"/>
          <w:lang w:val="fr-FR"/>
        </w:rPr>
        <w:t xml:space="preserve">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72066" w14:textId="53D9C9EC" w:rsidR="000F2B01" w:rsidRPr="007608DB" w:rsidRDefault="000F2B01" w:rsidP="00BD60F7">
    <w:pPr>
      <w:pStyle w:val="Header"/>
      <w:rPr>
        <w:rFonts w:asciiTheme="majorBidi" w:hAnsiTheme="majorBidi" w:cstheme="majorBidi"/>
        <w:b/>
        <w:bCs/>
      </w:rPr>
    </w:pPr>
    <w:r>
      <w:rPr>
        <w:rFonts w:asciiTheme="majorBidi" w:hAnsiTheme="majorBidi" w:cstheme="majorBidi"/>
        <w:b/>
        <w:bCs/>
      </w:rPr>
      <w:t>PIC13/</w:t>
    </w:r>
    <w:r w:rsidR="00662E9B">
      <w:rPr>
        <w:rFonts w:asciiTheme="majorBidi" w:hAnsiTheme="majorBidi" w:cstheme="majorBidi"/>
        <w:b/>
        <w:bCs/>
      </w:rPr>
      <w:t>14</w:t>
    </w:r>
  </w:p>
  <w:p w14:paraId="0942E3B7" w14:textId="77777777" w:rsidR="000F2B01" w:rsidRDefault="000F2B01"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1D513D">
      <w:rPr>
        <w:rFonts w:asciiTheme="majorBidi" w:hAnsiTheme="majorBidi" w:cstheme="majorBidi"/>
        <w:b/>
        <w:bCs/>
        <w:noProof/>
      </w:rPr>
      <w:t>2</w:t>
    </w:r>
    <w:r w:rsidRPr="007608DB">
      <w:rPr>
        <w:rFonts w:asciiTheme="majorBidi" w:hAnsiTheme="majorBidi" w:cstheme="majorBidi"/>
        <w:b/>
        <w:bCs/>
        <w:noProof/>
      </w:rPr>
      <w:fldChar w:fldCharType="end"/>
    </w:r>
  </w:p>
  <w:p w14:paraId="6626A437" w14:textId="77777777" w:rsidR="000F2B01" w:rsidRDefault="000F2B01" w:rsidP="00BD60F7">
    <w:pPr>
      <w:pStyle w:val="Header"/>
      <w:rPr>
        <w:rFonts w:asciiTheme="majorBidi" w:hAnsiTheme="majorBidi" w:cstheme="majorBidi"/>
        <w:b/>
        <w:bCs/>
        <w:noProof/>
      </w:rPr>
    </w:pPr>
  </w:p>
  <w:p w14:paraId="7376CFC8" w14:textId="77777777" w:rsidR="000F2B01" w:rsidRPr="007608DB" w:rsidRDefault="000F2B01"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0A6D" w14:textId="5F32F5CE" w:rsidR="000F2B01" w:rsidRPr="007608DB" w:rsidRDefault="000F2B01" w:rsidP="00BD60F7">
    <w:pPr>
      <w:pStyle w:val="Header"/>
      <w:jc w:val="right"/>
      <w:rPr>
        <w:rFonts w:asciiTheme="majorBidi" w:hAnsiTheme="majorBidi" w:cstheme="majorBidi"/>
        <w:b/>
        <w:bCs/>
      </w:rPr>
    </w:pPr>
    <w:r>
      <w:rPr>
        <w:rFonts w:asciiTheme="majorBidi" w:hAnsiTheme="majorBidi" w:cstheme="majorBidi"/>
        <w:b/>
        <w:bCs/>
      </w:rPr>
      <w:t>PIC1</w:t>
    </w:r>
    <w:r w:rsidR="00662E9B">
      <w:rPr>
        <w:rFonts w:asciiTheme="majorBidi" w:hAnsiTheme="majorBidi" w:cstheme="majorBidi"/>
        <w:b/>
        <w:bCs/>
      </w:rPr>
      <w:t>3</w:t>
    </w:r>
    <w:r>
      <w:rPr>
        <w:rFonts w:asciiTheme="majorBidi" w:hAnsiTheme="majorBidi" w:cstheme="majorBidi"/>
        <w:b/>
        <w:bCs/>
      </w:rPr>
      <w:t>/</w:t>
    </w:r>
    <w:r w:rsidR="001D513D">
      <w:rPr>
        <w:rFonts w:asciiTheme="majorBidi" w:hAnsiTheme="majorBidi" w:cstheme="majorBidi"/>
        <w:b/>
        <w:bCs/>
      </w:rPr>
      <w:t>S4/2</w:t>
    </w:r>
  </w:p>
  <w:p w14:paraId="72ECC7C5" w14:textId="77777777" w:rsidR="000F2B01" w:rsidRDefault="000F2B01" w:rsidP="00BD60F7">
    <w:pPr>
      <w:pStyle w:val="Header"/>
      <w:jc w:val="right"/>
      <w:rPr>
        <w:rFonts w:asciiTheme="majorBidi" w:hAnsiTheme="majorBidi" w:cstheme="majorBidi"/>
        <w:b/>
        <w:bCs/>
        <w:noProof/>
      </w:rPr>
    </w:pPr>
    <w:proofErr w:type="gramStart"/>
    <w:r>
      <w:rPr>
        <w:rFonts w:asciiTheme="majorBidi" w:hAnsiTheme="majorBidi" w:cstheme="majorBidi"/>
        <w:b/>
        <w:bCs/>
      </w:rPr>
      <w:t>p</w:t>
    </w:r>
    <w:r w:rsidRPr="007608DB">
      <w:rPr>
        <w:rFonts w:asciiTheme="majorBidi" w:hAnsiTheme="majorBidi" w:cstheme="majorBidi"/>
        <w:b/>
        <w:bCs/>
      </w:rPr>
      <w:t>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E04448">
      <w:rPr>
        <w:rFonts w:asciiTheme="majorBidi" w:hAnsiTheme="majorBidi" w:cstheme="majorBidi"/>
        <w:b/>
        <w:bCs/>
        <w:noProof/>
      </w:rPr>
      <w:t>2</w:t>
    </w:r>
    <w:r w:rsidRPr="007608DB">
      <w:rPr>
        <w:rFonts w:asciiTheme="majorBidi" w:hAnsiTheme="majorBidi" w:cstheme="majorBidi"/>
        <w:b/>
        <w:bCs/>
        <w:noProof/>
      </w:rPr>
      <w:fldChar w:fldCharType="end"/>
    </w:r>
  </w:p>
  <w:p w14:paraId="00B8B80C" w14:textId="77777777" w:rsidR="000F2B01" w:rsidRDefault="000F2B01" w:rsidP="00BD60F7">
    <w:pPr>
      <w:pStyle w:val="Header"/>
      <w:jc w:val="right"/>
      <w:rPr>
        <w:rFonts w:asciiTheme="majorBidi" w:hAnsiTheme="majorBidi" w:cstheme="majorBidi"/>
        <w:b/>
        <w:bCs/>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FE8E5" w14:textId="59068383" w:rsidR="001D513D" w:rsidRDefault="001D513D" w:rsidP="001D513D">
    <w:pPr>
      <w:pStyle w:val="Header"/>
      <w:jc w:val="center"/>
    </w:pPr>
    <w:r>
      <w:rPr>
        <w:noProof/>
        <w:lang w:val="en-US" w:eastAsia="en-US"/>
      </w:rPr>
      <w:drawing>
        <wp:inline distT="0" distB="0" distL="0" distR="0" wp14:anchorId="69F02F20" wp14:editId="3E4CC61A">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0C79"/>
    <w:multiLevelType w:val="hybridMultilevel"/>
    <w:tmpl w:val="76AAE4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A05BBB"/>
    <w:multiLevelType w:val="hybridMultilevel"/>
    <w:tmpl w:val="DFFE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F216EA"/>
    <w:multiLevelType w:val="hybridMultilevel"/>
    <w:tmpl w:val="93BCF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40E3F6A"/>
    <w:multiLevelType w:val="hybridMultilevel"/>
    <w:tmpl w:val="2C3C6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4735D2F"/>
    <w:multiLevelType w:val="hybridMultilevel"/>
    <w:tmpl w:val="5B182E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AC96933"/>
    <w:multiLevelType w:val="hybridMultilevel"/>
    <w:tmpl w:val="2076B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A71450"/>
    <w:multiLevelType w:val="hybridMultilevel"/>
    <w:tmpl w:val="0A26C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664EA3"/>
    <w:multiLevelType w:val="hybridMultilevel"/>
    <w:tmpl w:val="C34CC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39B29F1"/>
    <w:multiLevelType w:val="hybridMultilevel"/>
    <w:tmpl w:val="754684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BB7436F"/>
    <w:multiLevelType w:val="hybridMultilevel"/>
    <w:tmpl w:val="4C6C5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0C70E58"/>
    <w:multiLevelType w:val="hybridMultilevel"/>
    <w:tmpl w:val="DABAC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1"/>
  </w:num>
  <w:num w:numId="5">
    <w:abstractNumId w:val="6"/>
  </w:num>
  <w:num w:numId="6">
    <w:abstractNumId w:val="3"/>
  </w:num>
  <w:num w:numId="7">
    <w:abstractNumId w:val="7"/>
  </w:num>
  <w:num w:numId="8">
    <w:abstractNumId w:val="5"/>
  </w:num>
  <w:num w:numId="9">
    <w:abstractNumId w:val="9"/>
  </w:num>
  <w:num w:numId="10">
    <w:abstractNumId w:val="0"/>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74F7"/>
    <w:rsid w:val="00021180"/>
    <w:rsid w:val="000212BC"/>
    <w:rsid w:val="00021611"/>
    <w:rsid w:val="000327DF"/>
    <w:rsid w:val="000330E5"/>
    <w:rsid w:val="00034ECF"/>
    <w:rsid w:val="000357A1"/>
    <w:rsid w:val="00040460"/>
    <w:rsid w:val="0004524D"/>
    <w:rsid w:val="0004739D"/>
    <w:rsid w:val="00051326"/>
    <w:rsid w:val="000517AC"/>
    <w:rsid w:val="00053881"/>
    <w:rsid w:val="00053FDA"/>
    <w:rsid w:val="0005758A"/>
    <w:rsid w:val="00057746"/>
    <w:rsid w:val="00057A2D"/>
    <w:rsid w:val="000609B3"/>
    <w:rsid w:val="00060E55"/>
    <w:rsid w:val="000622A3"/>
    <w:rsid w:val="0006351E"/>
    <w:rsid w:val="00063FDB"/>
    <w:rsid w:val="000646B3"/>
    <w:rsid w:val="00064C0D"/>
    <w:rsid w:val="0006561B"/>
    <w:rsid w:val="00065A23"/>
    <w:rsid w:val="00067626"/>
    <w:rsid w:val="00070C77"/>
    <w:rsid w:val="00070F50"/>
    <w:rsid w:val="0007106D"/>
    <w:rsid w:val="00072074"/>
    <w:rsid w:val="0007551E"/>
    <w:rsid w:val="00075B2E"/>
    <w:rsid w:val="00080A86"/>
    <w:rsid w:val="00080E73"/>
    <w:rsid w:val="00081EEF"/>
    <w:rsid w:val="00085516"/>
    <w:rsid w:val="0008603A"/>
    <w:rsid w:val="000865E3"/>
    <w:rsid w:val="00090851"/>
    <w:rsid w:val="00091380"/>
    <w:rsid w:val="000915A1"/>
    <w:rsid w:val="00091DC6"/>
    <w:rsid w:val="000940E0"/>
    <w:rsid w:val="0009537E"/>
    <w:rsid w:val="000964EF"/>
    <w:rsid w:val="000A062F"/>
    <w:rsid w:val="000A1838"/>
    <w:rsid w:val="000A3107"/>
    <w:rsid w:val="000A36D8"/>
    <w:rsid w:val="000A4CC5"/>
    <w:rsid w:val="000A6500"/>
    <w:rsid w:val="000A7661"/>
    <w:rsid w:val="000B07B4"/>
    <w:rsid w:val="000B22EA"/>
    <w:rsid w:val="000B2BA4"/>
    <w:rsid w:val="000B3376"/>
    <w:rsid w:val="000B4526"/>
    <w:rsid w:val="000B683B"/>
    <w:rsid w:val="000C2FCC"/>
    <w:rsid w:val="000C441F"/>
    <w:rsid w:val="000C617B"/>
    <w:rsid w:val="000C6336"/>
    <w:rsid w:val="000D032C"/>
    <w:rsid w:val="000D28B0"/>
    <w:rsid w:val="000D4B86"/>
    <w:rsid w:val="000D631C"/>
    <w:rsid w:val="000D70E9"/>
    <w:rsid w:val="000E0FE6"/>
    <w:rsid w:val="000E19CD"/>
    <w:rsid w:val="000E2B87"/>
    <w:rsid w:val="000E5212"/>
    <w:rsid w:val="000E6C33"/>
    <w:rsid w:val="000E6FC1"/>
    <w:rsid w:val="000E77C8"/>
    <w:rsid w:val="000F0A55"/>
    <w:rsid w:val="000F1370"/>
    <w:rsid w:val="000F17EA"/>
    <w:rsid w:val="000F2B01"/>
    <w:rsid w:val="000F34F6"/>
    <w:rsid w:val="000F475A"/>
    <w:rsid w:val="000F5EF1"/>
    <w:rsid w:val="00100CAD"/>
    <w:rsid w:val="0010585B"/>
    <w:rsid w:val="0010770D"/>
    <w:rsid w:val="00110B73"/>
    <w:rsid w:val="00114B13"/>
    <w:rsid w:val="001214F0"/>
    <w:rsid w:val="001218CE"/>
    <w:rsid w:val="00124E49"/>
    <w:rsid w:val="00126249"/>
    <w:rsid w:val="00126794"/>
    <w:rsid w:val="00126D12"/>
    <w:rsid w:val="001304A7"/>
    <w:rsid w:val="00136BF4"/>
    <w:rsid w:val="00137C46"/>
    <w:rsid w:val="001409F9"/>
    <w:rsid w:val="00145F8C"/>
    <w:rsid w:val="001478F5"/>
    <w:rsid w:val="00147EC4"/>
    <w:rsid w:val="00150724"/>
    <w:rsid w:val="00150E8C"/>
    <w:rsid w:val="00152E28"/>
    <w:rsid w:val="00154857"/>
    <w:rsid w:val="001549B8"/>
    <w:rsid w:val="0015752E"/>
    <w:rsid w:val="00157CF2"/>
    <w:rsid w:val="001635CF"/>
    <w:rsid w:val="00163C07"/>
    <w:rsid w:val="001645ED"/>
    <w:rsid w:val="001660FA"/>
    <w:rsid w:val="00166CD2"/>
    <w:rsid w:val="00166F39"/>
    <w:rsid w:val="00170ADA"/>
    <w:rsid w:val="00172B5F"/>
    <w:rsid w:val="001730FF"/>
    <w:rsid w:val="00173C3D"/>
    <w:rsid w:val="001775FD"/>
    <w:rsid w:val="00180E78"/>
    <w:rsid w:val="00181925"/>
    <w:rsid w:val="0019024C"/>
    <w:rsid w:val="00192CD9"/>
    <w:rsid w:val="00195526"/>
    <w:rsid w:val="001967D6"/>
    <w:rsid w:val="00197CB2"/>
    <w:rsid w:val="001A068D"/>
    <w:rsid w:val="001A0F5F"/>
    <w:rsid w:val="001A18B9"/>
    <w:rsid w:val="001A2492"/>
    <w:rsid w:val="001B2385"/>
    <w:rsid w:val="001B53A5"/>
    <w:rsid w:val="001B595B"/>
    <w:rsid w:val="001B7672"/>
    <w:rsid w:val="001C034B"/>
    <w:rsid w:val="001C1778"/>
    <w:rsid w:val="001C26B3"/>
    <w:rsid w:val="001C37CE"/>
    <w:rsid w:val="001C38F8"/>
    <w:rsid w:val="001D3CB7"/>
    <w:rsid w:val="001D513D"/>
    <w:rsid w:val="001E2E4F"/>
    <w:rsid w:val="001E46F5"/>
    <w:rsid w:val="001E4A38"/>
    <w:rsid w:val="001F1CF7"/>
    <w:rsid w:val="001F1D88"/>
    <w:rsid w:val="001F3354"/>
    <w:rsid w:val="001F6C62"/>
    <w:rsid w:val="001F7017"/>
    <w:rsid w:val="002007E7"/>
    <w:rsid w:val="0020571D"/>
    <w:rsid w:val="00211607"/>
    <w:rsid w:val="00216EAE"/>
    <w:rsid w:val="00220E92"/>
    <w:rsid w:val="00221229"/>
    <w:rsid w:val="002225F0"/>
    <w:rsid w:val="0022338A"/>
    <w:rsid w:val="00223E04"/>
    <w:rsid w:val="00223F11"/>
    <w:rsid w:val="00225509"/>
    <w:rsid w:val="00226E91"/>
    <w:rsid w:val="0022780C"/>
    <w:rsid w:val="00232B56"/>
    <w:rsid w:val="0023352A"/>
    <w:rsid w:val="00233644"/>
    <w:rsid w:val="00235483"/>
    <w:rsid w:val="002371C4"/>
    <w:rsid w:val="002418DA"/>
    <w:rsid w:val="00245932"/>
    <w:rsid w:val="00247DFF"/>
    <w:rsid w:val="00251BFF"/>
    <w:rsid w:val="002564F0"/>
    <w:rsid w:val="00257D05"/>
    <w:rsid w:val="002603D9"/>
    <w:rsid w:val="00260F9A"/>
    <w:rsid w:val="00262450"/>
    <w:rsid w:val="00262AEA"/>
    <w:rsid w:val="00265C4C"/>
    <w:rsid w:val="00266110"/>
    <w:rsid w:val="00266A1F"/>
    <w:rsid w:val="002677B3"/>
    <w:rsid w:val="00271140"/>
    <w:rsid w:val="00271E93"/>
    <w:rsid w:val="00272FB0"/>
    <w:rsid w:val="0027335F"/>
    <w:rsid w:val="00274684"/>
    <w:rsid w:val="00274FBF"/>
    <w:rsid w:val="00275836"/>
    <w:rsid w:val="0027646C"/>
    <w:rsid w:val="00276BC2"/>
    <w:rsid w:val="00281C02"/>
    <w:rsid w:val="00281ED5"/>
    <w:rsid w:val="00283F3D"/>
    <w:rsid w:val="002840E5"/>
    <w:rsid w:val="002857C4"/>
    <w:rsid w:val="00286272"/>
    <w:rsid w:val="00286473"/>
    <w:rsid w:val="00287C2C"/>
    <w:rsid w:val="00290DA3"/>
    <w:rsid w:val="002916EE"/>
    <w:rsid w:val="002A0B3B"/>
    <w:rsid w:val="002A22F9"/>
    <w:rsid w:val="002A4128"/>
    <w:rsid w:val="002A5D02"/>
    <w:rsid w:val="002A5ECF"/>
    <w:rsid w:val="002A6F1B"/>
    <w:rsid w:val="002B4367"/>
    <w:rsid w:val="002B4788"/>
    <w:rsid w:val="002B4B36"/>
    <w:rsid w:val="002B643D"/>
    <w:rsid w:val="002B6ECD"/>
    <w:rsid w:val="002B7D4A"/>
    <w:rsid w:val="002C24B4"/>
    <w:rsid w:val="002C32BC"/>
    <w:rsid w:val="002C47A5"/>
    <w:rsid w:val="002C5CEB"/>
    <w:rsid w:val="002D04EA"/>
    <w:rsid w:val="002D2D97"/>
    <w:rsid w:val="002D4A80"/>
    <w:rsid w:val="002D7683"/>
    <w:rsid w:val="002E19CA"/>
    <w:rsid w:val="002E28A4"/>
    <w:rsid w:val="002E6CD7"/>
    <w:rsid w:val="002F1038"/>
    <w:rsid w:val="002F24BA"/>
    <w:rsid w:val="002F267B"/>
    <w:rsid w:val="002F2CD3"/>
    <w:rsid w:val="002F3C26"/>
    <w:rsid w:val="002F3D06"/>
    <w:rsid w:val="002F54CC"/>
    <w:rsid w:val="002F7947"/>
    <w:rsid w:val="00303F03"/>
    <w:rsid w:val="00310337"/>
    <w:rsid w:val="003160F4"/>
    <w:rsid w:val="00320BF8"/>
    <w:rsid w:val="00321839"/>
    <w:rsid w:val="00321B6E"/>
    <w:rsid w:val="00321D09"/>
    <w:rsid w:val="003262C1"/>
    <w:rsid w:val="003307C6"/>
    <w:rsid w:val="003318EA"/>
    <w:rsid w:val="003321CF"/>
    <w:rsid w:val="0033285F"/>
    <w:rsid w:val="00332BF4"/>
    <w:rsid w:val="00333DE1"/>
    <w:rsid w:val="00334BE8"/>
    <w:rsid w:val="00336EA3"/>
    <w:rsid w:val="00341DFC"/>
    <w:rsid w:val="003437FC"/>
    <w:rsid w:val="0034453B"/>
    <w:rsid w:val="00345E46"/>
    <w:rsid w:val="00347141"/>
    <w:rsid w:val="00347D57"/>
    <w:rsid w:val="00347E3D"/>
    <w:rsid w:val="00352346"/>
    <w:rsid w:val="003524DF"/>
    <w:rsid w:val="00352844"/>
    <w:rsid w:val="00357A81"/>
    <w:rsid w:val="003600B9"/>
    <w:rsid w:val="00361D92"/>
    <w:rsid w:val="00363999"/>
    <w:rsid w:val="00363B5A"/>
    <w:rsid w:val="003647B9"/>
    <w:rsid w:val="00367039"/>
    <w:rsid w:val="0037231D"/>
    <w:rsid w:val="00373184"/>
    <w:rsid w:val="00373585"/>
    <w:rsid w:val="003741AF"/>
    <w:rsid w:val="0037460D"/>
    <w:rsid w:val="003751A6"/>
    <w:rsid w:val="003848C6"/>
    <w:rsid w:val="0039180E"/>
    <w:rsid w:val="00391C32"/>
    <w:rsid w:val="00392201"/>
    <w:rsid w:val="003977B0"/>
    <w:rsid w:val="003A18F3"/>
    <w:rsid w:val="003A3BC8"/>
    <w:rsid w:val="003A6059"/>
    <w:rsid w:val="003A7A3E"/>
    <w:rsid w:val="003B0C3B"/>
    <w:rsid w:val="003B33B9"/>
    <w:rsid w:val="003B446A"/>
    <w:rsid w:val="003B465A"/>
    <w:rsid w:val="003B603E"/>
    <w:rsid w:val="003C1B8C"/>
    <w:rsid w:val="003C31F9"/>
    <w:rsid w:val="003D00DA"/>
    <w:rsid w:val="003D0494"/>
    <w:rsid w:val="003D097C"/>
    <w:rsid w:val="003D2B08"/>
    <w:rsid w:val="003D35A8"/>
    <w:rsid w:val="003D594F"/>
    <w:rsid w:val="003D5F4A"/>
    <w:rsid w:val="003D7753"/>
    <w:rsid w:val="003E024B"/>
    <w:rsid w:val="003E14FD"/>
    <w:rsid w:val="003E5359"/>
    <w:rsid w:val="003E57B6"/>
    <w:rsid w:val="003E661C"/>
    <w:rsid w:val="003F13A5"/>
    <w:rsid w:val="003F1F6A"/>
    <w:rsid w:val="003F6FAB"/>
    <w:rsid w:val="003F782D"/>
    <w:rsid w:val="00400053"/>
    <w:rsid w:val="00403B84"/>
    <w:rsid w:val="0040421F"/>
    <w:rsid w:val="00404C16"/>
    <w:rsid w:val="00405361"/>
    <w:rsid w:val="00405F1F"/>
    <w:rsid w:val="00407547"/>
    <w:rsid w:val="00412625"/>
    <w:rsid w:val="00413521"/>
    <w:rsid w:val="0041359E"/>
    <w:rsid w:val="00422252"/>
    <w:rsid w:val="00424479"/>
    <w:rsid w:val="00424E69"/>
    <w:rsid w:val="0042627B"/>
    <w:rsid w:val="004274E1"/>
    <w:rsid w:val="00434873"/>
    <w:rsid w:val="00436C80"/>
    <w:rsid w:val="00440011"/>
    <w:rsid w:val="0044045F"/>
    <w:rsid w:val="004438C0"/>
    <w:rsid w:val="00453276"/>
    <w:rsid w:val="00454CDB"/>
    <w:rsid w:val="00455ACB"/>
    <w:rsid w:val="00457E6A"/>
    <w:rsid w:val="00461CDE"/>
    <w:rsid w:val="004657B5"/>
    <w:rsid w:val="00471432"/>
    <w:rsid w:val="004719D7"/>
    <w:rsid w:val="004728A0"/>
    <w:rsid w:val="0047652F"/>
    <w:rsid w:val="004805A7"/>
    <w:rsid w:val="004832A5"/>
    <w:rsid w:val="00483A00"/>
    <w:rsid w:val="00483B3A"/>
    <w:rsid w:val="00486C70"/>
    <w:rsid w:val="00487AA0"/>
    <w:rsid w:val="0049000B"/>
    <w:rsid w:val="004917DE"/>
    <w:rsid w:val="00492379"/>
    <w:rsid w:val="00492385"/>
    <w:rsid w:val="0049356C"/>
    <w:rsid w:val="00496AC7"/>
    <w:rsid w:val="004A1C60"/>
    <w:rsid w:val="004A2696"/>
    <w:rsid w:val="004A2B5C"/>
    <w:rsid w:val="004A6502"/>
    <w:rsid w:val="004B1395"/>
    <w:rsid w:val="004B3223"/>
    <w:rsid w:val="004B32E7"/>
    <w:rsid w:val="004B3EA8"/>
    <w:rsid w:val="004B441F"/>
    <w:rsid w:val="004B5D52"/>
    <w:rsid w:val="004B614E"/>
    <w:rsid w:val="004B716B"/>
    <w:rsid w:val="004B78B6"/>
    <w:rsid w:val="004C3CA8"/>
    <w:rsid w:val="004C5D38"/>
    <w:rsid w:val="004D43AC"/>
    <w:rsid w:val="004D57E5"/>
    <w:rsid w:val="004E05DF"/>
    <w:rsid w:val="004E0DBC"/>
    <w:rsid w:val="004E1B5C"/>
    <w:rsid w:val="004E4609"/>
    <w:rsid w:val="004E480B"/>
    <w:rsid w:val="004E4A10"/>
    <w:rsid w:val="004E4A66"/>
    <w:rsid w:val="004E4B10"/>
    <w:rsid w:val="004E55FE"/>
    <w:rsid w:val="004E5AFC"/>
    <w:rsid w:val="004E6D87"/>
    <w:rsid w:val="004F4FE5"/>
    <w:rsid w:val="0050422B"/>
    <w:rsid w:val="00504F97"/>
    <w:rsid w:val="0050591B"/>
    <w:rsid w:val="00507F33"/>
    <w:rsid w:val="00516E7B"/>
    <w:rsid w:val="00522F0C"/>
    <w:rsid w:val="00523403"/>
    <w:rsid w:val="00533B65"/>
    <w:rsid w:val="00534DFF"/>
    <w:rsid w:val="005373D5"/>
    <w:rsid w:val="0054107F"/>
    <w:rsid w:val="00544620"/>
    <w:rsid w:val="00550CA1"/>
    <w:rsid w:val="00551A4B"/>
    <w:rsid w:val="00552180"/>
    <w:rsid w:val="00552611"/>
    <w:rsid w:val="00552A13"/>
    <w:rsid w:val="00554C75"/>
    <w:rsid w:val="005553D5"/>
    <w:rsid w:val="00556CF2"/>
    <w:rsid w:val="00557FD2"/>
    <w:rsid w:val="00560443"/>
    <w:rsid w:val="00560E73"/>
    <w:rsid w:val="00564AEE"/>
    <w:rsid w:val="0056523B"/>
    <w:rsid w:val="00567814"/>
    <w:rsid w:val="00573F62"/>
    <w:rsid w:val="00576E43"/>
    <w:rsid w:val="00580810"/>
    <w:rsid w:val="0058123E"/>
    <w:rsid w:val="00581A40"/>
    <w:rsid w:val="0058213B"/>
    <w:rsid w:val="00582248"/>
    <w:rsid w:val="005823A8"/>
    <w:rsid w:val="00583853"/>
    <w:rsid w:val="0058665E"/>
    <w:rsid w:val="00587BCD"/>
    <w:rsid w:val="00587D82"/>
    <w:rsid w:val="005914D1"/>
    <w:rsid w:val="00593BFB"/>
    <w:rsid w:val="005A1E01"/>
    <w:rsid w:val="005A32B9"/>
    <w:rsid w:val="005A4E0C"/>
    <w:rsid w:val="005A6E4E"/>
    <w:rsid w:val="005B05E5"/>
    <w:rsid w:val="005B191B"/>
    <w:rsid w:val="005B46C8"/>
    <w:rsid w:val="005B5FCA"/>
    <w:rsid w:val="005C00F0"/>
    <w:rsid w:val="005C07C8"/>
    <w:rsid w:val="005C0EA0"/>
    <w:rsid w:val="005C32C7"/>
    <w:rsid w:val="005C3FA1"/>
    <w:rsid w:val="005C54A9"/>
    <w:rsid w:val="005C7BFC"/>
    <w:rsid w:val="005D0A39"/>
    <w:rsid w:val="005D28BC"/>
    <w:rsid w:val="005D2ADF"/>
    <w:rsid w:val="005D38C1"/>
    <w:rsid w:val="005D4E10"/>
    <w:rsid w:val="005D6DD8"/>
    <w:rsid w:val="005D7D58"/>
    <w:rsid w:val="005D7DD5"/>
    <w:rsid w:val="005E08CF"/>
    <w:rsid w:val="005E1A28"/>
    <w:rsid w:val="005E40FE"/>
    <w:rsid w:val="005E5C31"/>
    <w:rsid w:val="005F27E5"/>
    <w:rsid w:val="005F3FFE"/>
    <w:rsid w:val="005F425E"/>
    <w:rsid w:val="005F4720"/>
    <w:rsid w:val="005F5044"/>
    <w:rsid w:val="005F63A9"/>
    <w:rsid w:val="005F6685"/>
    <w:rsid w:val="00600155"/>
    <w:rsid w:val="00603EAE"/>
    <w:rsid w:val="0060400F"/>
    <w:rsid w:val="0060482D"/>
    <w:rsid w:val="00605237"/>
    <w:rsid w:val="0060527F"/>
    <w:rsid w:val="00605E6C"/>
    <w:rsid w:val="0060609D"/>
    <w:rsid w:val="0060633D"/>
    <w:rsid w:val="0060634A"/>
    <w:rsid w:val="006072DF"/>
    <w:rsid w:val="00610BF7"/>
    <w:rsid w:val="006116D8"/>
    <w:rsid w:val="00615DD2"/>
    <w:rsid w:val="0061652B"/>
    <w:rsid w:val="00617481"/>
    <w:rsid w:val="00617664"/>
    <w:rsid w:val="00617D2F"/>
    <w:rsid w:val="00623F1B"/>
    <w:rsid w:val="006259B0"/>
    <w:rsid w:val="00626A0B"/>
    <w:rsid w:val="00630378"/>
    <w:rsid w:val="006344AC"/>
    <w:rsid w:val="00634755"/>
    <w:rsid w:val="00634B10"/>
    <w:rsid w:val="0063532E"/>
    <w:rsid w:val="006445F7"/>
    <w:rsid w:val="006457B3"/>
    <w:rsid w:val="0065404F"/>
    <w:rsid w:val="006611E7"/>
    <w:rsid w:val="00662E9B"/>
    <w:rsid w:val="00662F04"/>
    <w:rsid w:val="006639F5"/>
    <w:rsid w:val="00663B51"/>
    <w:rsid w:val="00666CCB"/>
    <w:rsid w:val="00667CD3"/>
    <w:rsid w:val="00672315"/>
    <w:rsid w:val="00676860"/>
    <w:rsid w:val="00677F4D"/>
    <w:rsid w:val="00680679"/>
    <w:rsid w:val="00681FAD"/>
    <w:rsid w:val="006830E7"/>
    <w:rsid w:val="006840E1"/>
    <w:rsid w:val="00684DAE"/>
    <w:rsid w:val="00690A79"/>
    <w:rsid w:val="00693E06"/>
    <w:rsid w:val="00695A5C"/>
    <w:rsid w:val="006A1B0C"/>
    <w:rsid w:val="006A51A2"/>
    <w:rsid w:val="006A548B"/>
    <w:rsid w:val="006A6523"/>
    <w:rsid w:val="006A6B56"/>
    <w:rsid w:val="006A769B"/>
    <w:rsid w:val="006B0B00"/>
    <w:rsid w:val="006B1200"/>
    <w:rsid w:val="006B23B6"/>
    <w:rsid w:val="006B4CDF"/>
    <w:rsid w:val="006B57DF"/>
    <w:rsid w:val="006B775B"/>
    <w:rsid w:val="006C0571"/>
    <w:rsid w:val="006C1124"/>
    <w:rsid w:val="006C24A9"/>
    <w:rsid w:val="006C3AF1"/>
    <w:rsid w:val="006C4067"/>
    <w:rsid w:val="006C6039"/>
    <w:rsid w:val="006C6C1C"/>
    <w:rsid w:val="006C7BAE"/>
    <w:rsid w:val="006D1795"/>
    <w:rsid w:val="006D6221"/>
    <w:rsid w:val="006D6440"/>
    <w:rsid w:val="006D75CE"/>
    <w:rsid w:val="006D7DF3"/>
    <w:rsid w:val="006E21E8"/>
    <w:rsid w:val="006E2BB8"/>
    <w:rsid w:val="006E5BF7"/>
    <w:rsid w:val="006E6362"/>
    <w:rsid w:val="006E6AD9"/>
    <w:rsid w:val="006E7CE0"/>
    <w:rsid w:val="006F105F"/>
    <w:rsid w:val="006F45CE"/>
    <w:rsid w:val="006F49C8"/>
    <w:rsid w:val="006F695C"/>
    <w:rsid w:val="00705591"/>
    <w:rsid w:val="00705EF1"/>
    <w:rsid w:val="007120E4"/>
    <w:rsid w:val="00717161"/>
    <w:rsid w:val="00720366"/>
    <w:rsid w:val="007205E4"/>
    <w:rsid w:val="007210C3"/>
    <w:rsid w:val="0072348E"/>
    <w:rsid w:val="00725401"/>
    <w:rsid w:val="00725C78"/>
    <w:rsid w:val="007277D6"/>
    <w:rsid w:val="007319B0"/>
    <w:rsid w:val="00733B6D"/>
    <w:rsid w:val="0074074F"/>
    <w:rsid w:val="007418C1"/>
    <w:rsid w:val="00741F24"/>
    <w:rsid w:val="00743918"/>
    <w:rsid w:val="007450BD"/>
    <w:rsid w:val="00750A2F"/>
    <w:rsid w:val="007513E5"/>
    <w:rsid w:val="007524AE"/>
    <w:rsid w:val="00752782"/>
    <w:rsid w:val="007537CE"/>
    <w:rsid w:val="00753F64"/>
    <w:rsid w:val="007547B3"/>
    <w:rsid w:val="00755F07"/>
    <w:rsid w:val="007560FF"/>
    <w:rsid w:val="007608DB"/>
    <w:rsid w:val="00761101"/>
    <w:rsid w:val="00762300"/>
    <w:rsid w:val="00762C68"/>
    <w:rsid w:val="007638F1"/>
    <w:rsid w:val="0076437C"/>
    <w:rsid w:val="007651DE"/>
    <w:rsid w:val="0076562E"/>
    <w:rsid w:val="00767903"/>
    <w:rsid w:val="00767B8E"/>
    <w:rsid w:val="00767E13"/>
    <w:rsid w:val="0077280F"/>
    <w:rsid w:val="007729B2"/>
    <w:rsid w:val="00774469"/>
    <w:rsid w:val="00776FB8"/>
    <w:rsid w:val="00777BEF"/>
    <w:rsid w:val="0078171A"/>
    <w:rsid w:val="0078267F"/>
    <w:rsid w:val="00790DF6"/>
    <w:rsid w:val="00790F67"/>
    <w:rsid w:val="007932A1"/>
    <w:rsid w:val="00793CD6"/>
    <w:rsid w:val="0079439A"/>
    <w:rsid w:val="007946E1"/>
    <w:rsid w:val="00794D56"/>
    <w:rsid w:val="00795221"/>
    <w:rsid w:val="007973E4"/>
    <w:rsid w:val="007A182D"/>
    <w:rsid w:val="007A4AA8"/>
    <w:rsid w:val="007A5D27"/>
    <w:rsid w:val="007A6057"/>
    <w:rsid w:val="007B10A5"/>
    <w:rsid w:val="007B24D6"/>
    <w:rsid w:val="007B2E0D"/>
    <w:rsid w:val="007B3322"/>
    <w:rsid w:val="007B3810"/>
    <w:rsid w:val="007B5FFE"/>
    <w:rsid w:val="007B600B"/>
    <w:rsid w:val="007B61BD"/>
    <w:rsid w:val="007C28BB"/>
    <w:rsid w:val="007C31CE"/>
    <w:rsid w:val="007C3D52"/>
    <w:rsid w:val="007C68DB"/>
    <w:rsid w:val="007C6B84"/>
    <w:rsid w:val="007C7C30"/>
    <w:rsid w:val="007D1394"/>
    <w:rsid w:val="007D17E9"/>
    <w:rsid w:val="007D1A9B"/>
    <w:rsid w:val="007D27C0"/>
    <w:rsid w:val="007D2F1C"/>
    <w:rsid w:val="007D309B"/>
    <w:rsid w:val="007D39E2"/>
    <w:rsid w:val="007D4D2B"/>
    <w:rsid w:val="007D5236"/>
    <w:rsid w:val="007E01EB"/>
    <w:rsid w:val="007E026C"/>
    <w:rsid w:val="007E10A6"/>
    <w:rsid w:val="007E3425"/>
    <w:rsid w:val="007E504D"/>
    <w:rsid w:val="007E604F"/>
    <w:rsid w:val="007E6CA0"/>
    <w:rsid w:val="007F02E0"/>
    <w:rsid w:val="007F10D8"/>
    <w:rsid w:val="007F1ADA"/>
    <w:rsid w:val="007F2C23"/>
    <w:rsid w:val="007F6195"/>
    <w:rsid w:val="008023DD"/>
    <w:rsid w:val="0080740F"/>
    <w:rsid w:val="00810147"/>
    <w:rsid w:val="00812D11"/>
    <w:rsid w:val="008150E7"/>
    <w:rsid w:val="00816680"/>
    <w:rsid w:val="00822393"/>
    <w:rsid w:val="008223FB"/>
    <w:rsid w:val="008256AD"/>
    <w:rsid w:val="008256C4"/>
    <w:rsid w:val="00830D79"/>
    <w:rsid w:val="00831137"/>
    <w:rsid w:val="00836E7B"/>
    <w:rsid w:val="0084043F"/>
    <w:rsid w:val="008425E6"/>
    <w:rsid w:val="00844659"/>
    <w:rsid w:val="0084501E"/>
    <w:rsid w:val="00850418"/>
    <w:rsid w:val="00850E11"/>
    <w:rsid w:val="00850F1B"/>
    <w:rsid w:val="008555A9"/>
    <w:rsid w:val="00860860"/>
    <w:rsid w:val="00863C7D"/>
    <w:rsid w:val="00863FFB"/>
    <w:rsid w:val="00864CD7"/>
    <w:rsid w:val="00864FC7"/>
    <w:rsid w:val="00866D1B"/>
    <w:rsid w:val="00867AC5"/>
    <w:rsid w:val="00871239"/>
    <w:rsid w:val="00872251"/>
    <w:rsid w:val="008749A5"/>
    <w:rsid w:val="00876DEC"/>
    <w:rsid w:val="00880048"/>
    <w:rsid w:val="00880213"/>
    <w:rsid w:val="00884583"/>
    <w:rsid w:val="008871AB"/>
    <w:rsid w:val="00887580"/>
    <w:rsid w:val="008920CE"/>
    <w:rsid w:val="00892436"/>
    <w:rsid w:val="00895A58"/>
    <w:rsid w:val="008A3A8C"/>
    <w:rsid w:val="008B3ABF"/>
    <w:rsid w:val="008C100A"/>
    <w:rsid w:val="008C1D97"/>
    <w:rsid w:val="008C5573"/>
    <w:rsid w:val="008C6101"/>
    <w:rsid w:val="008C6B20"/>
    <w:rsid w:val="008D1246"/>
    <w:rsid w:val="008D20CE"/>
    <w:rsid w:val="008D27E4"/>
    <w:rsid w:val="008D506B"/>
    <w:rsid w:val="008D50FB"/>
    <w:rsid w:val="008D67A9"/>
    <w:rsid w:val="008D721E"/>
    <w:rsid w:val="008E0650"/>
    <w:rsid w:val="008E0E4B"/>
    <w:rsid w:val="008E201E"/>
    <w:rsid w:val="008E2CBE"/>
    <w:rsid w:val="008E2ED8"/>
    <w:rsid w:val="008E585A"/>
    <w:rsid w:val="008E71E0"/>
    <w:rsid w:val="008F0665"/>
    <w:rsid w:val="008F0FAF"/>
    <w:rsid w:val="008F1079"/>
    <w:rsid w:val="008F3C44"/>
    <w:rsid w:val="008F5AF5"/>
    <w:rsid w:val="008F683C"/>
    <w:rsid w:val="008F68B0"/>
    <w:rsid w:val="00902EE8"/>
    <w:rsid w:val="009065FC"/>
    <w:rsid w:val="00906AB8"/>
    <w:rsid w:val="00906EE6"/>
    <w:rsid w:val="0090737E"/>
    <w:rsid w:val="00912F4F"/>
    <w:rsid w:val="00913E4A"/>
    <w:rsid w:val="0092057B"/>
    <w:rsid w:val="009206E8"/>
    <w:rsid w:val="00922580"/>
    <w:rsid w:val="00923F44"/>
    <w:rsid w:val="0093381D"/>
    <w:rsid w:val="00934FF4"/>
    <w:rsid w:val="00935B58"/>
    <w:rsid w:val="0094181C"/>
    <w:rsid w:val="00941829"/>
    <w:rsid w:val="00941A76"/>
    <w:rsid w:val="00941C5C"/>
    <w:rsid w:val="00945908"/>
    <w:rsid w:val="00950306"/>
    <w:rsid w:val="00951054"/>
    <w:rsid w:val="00951607"/>
    <w:rsid w:val="00952F18"/>
    <w:rsid w:val="0095462D"/>
    <w:rsid w:val="009577A6"/>
    <w:rsid w:val="0096117E"/>
    <w:rsid w:val="00961F20"/>
    <w:rsid w:val="00963E51"/>
    <w:rsid w:val="00965DB5"/>
    <w:rsid w:val="00971C9A"/>
    <w:rsid w:val="009742D3"/>
    <w:rsid w:val="00974A33"/>
    <w:rsid w:val="0098086C"/>
    <w:rsid w:val="0098207F"/>
    <w:rsid w:val="009825D7"/>
    <w:rsid w:val="009830E0"/>
    <w:rsid w:val="0098525D"/>
    <w:rsid w:val="00986AF7"/>
    <w:rsid w:val="0098717E"/>
    <w:rsid w:val="00987475"/>
    <w:rsid w:val="0099140D"/>
    <w:rsid w:val="009A098F"/>
    <w:rsid w:val="009A160E"/>
    <w:rsid w:val="009A3F1D"/>
    <w:rsid w:val="009A4279"/>
    <w:rsid w:val="009A46E8"/>
    <w:rsid w:val="009A59CE"/>
    <w:rsid w:val="009B012E"/>
    <w:rsid w:val="009B03E6"/>
    <w:rsid w:val="009B048F"/>
    <w:rsid w:val="009B6945"/>
    <w:rsid w:val="009C0117"/>
    <w:rsid w:val="009C60DD"/>
    <w:rsid w:val="009D0433"/>
    <w:rsid w:val="009D4270"/>
    <w:rsid w:val="009D5C2E"/>
    <w:rsid w:val="009D6B41"/>
    <w:rsid w:val="009E0188"/>
    <w:rsid w:val="009E15A6"/>
    <w:rsid w:val="009E4CD1"/>
    <w:rsid w:val="009E62A3"/>
    <w:rsid w:val="009E71DE"/>
    <w:rsid w:val="009F12CB"/>
    <w:rsid w:val="009F1C34"/>
    <w:rsid w:val="009F2764"/>
    <w:rsid w:val="009F3A1C"/>
    <w:rsid w:val="009F6B84"/>
    <w:rsid w:val="009F7448"/>
    <w:rsid w:val="009F7CDF"/>
    <w:rsid w:val="00A0226E"/>
    <w:rsid w:val="00A0260E"/>
    <w:rsid w:val="00A02BD5"/>
    <w:rsid w:val="00A02DD5"/>
    <w:rsid w:val="00A03E5D"/>
    <w:rsid w:val="00A05867"/>
    <w:rsid w:val="00A1004D"/>
    <w:rsid w:val="00A10828"/>
    <w:rsid w:val="00A10969"/>
    <w:rsid w:val="00A115FB"/>
    <w:rsid w:val="00A11F36"/>
    <w:rsid w:val="00A17A13"/>
    <w:rsid w:val="00A222F7"/>
    <w:rsid w:val="00A2274B"/>
    <w:rsid w:val="00A22F96"/>
    <w:rsid w:val="00A232A0"/>
    <w:rsid w:val="00A247FB"/>
    <w:rsid w:val="00A27C2B"/>
    <w:rsid w:val="00A30DEA"/>
    <w:rsid w:val="00A32EEE"/>
    <w:rsid w:val="00A3329D"/>
    <w:rsid w:val="00A34DDA"/>
    <w:rsid w:val="00A36189"/>
    <w:rsid w:val="00A3694A"/>
    <w:rsid w:val="00A36D4D"/>
    <w:rsid w:val="00A3748D"/>
    <w:rsid w:val="00A4075B"/>
    <w:rsid w:val="00A45B5B"/>
    <w:rsid w:val="00A516B6"/>
    <w:rsid w:val="00A53D52"/>
    <w:rsid w:val="00A53E09"/>
    <w:rsid w:val="00A54F98"/>
    <w:rsid w:val="00A553B1"/>
    <w:rsid w:val="00A60719"/>
    <w:rsid w:val="00A6096E"/>
    <w:rsid w:val="00A60EDB"/>
    <w:rsid w:val="00A61CAD"/>
    <w:rsid w:val="00A63B38"/>
    <w:rsid w:val="00A63B70"/>
    <w:rsid w:val="00A7119E"/>
    <w:rsid w:val="00A719A8"/>
    <w:rsid w:val="00A71E8D"/>
    <w:rsid w:val="00A72F3C"/>
    <w:rsid w:val="00A769F4"/>
    <w:rsid w:val="00A80B11"/>
    <w:rsid w:val="00A82AB2"/>
    <w:rsid w:val="00A8484E"/>
    <w:rsid w:val="00A852A5"/>
    <w:rsid w:val="00A86728"/>
    <w:rsid w:val="00A87035"/>
    <w:rsid w:val="00A8726E"/>
    <w:rsid w:val="00A901AE"/>
    <w:rsid w:val="00A90B4C"/>
    <w:rsid w:val="00A91787"/>
    <w:rsid w:val="00A91F13"/>
    <w:rsid w:val="00A927A2"/>
    <w:rsid w:val="00A9317D"/>
    <w:rsid w:val="00AA281A"/>
    <w:rsid w:val="00AA444F"/>
    <w:rsid w:val="00AA5996"/>
    <w:rsid w:val="00AB329E"/>
    <w:rsid w:val="00AB50EC"/>
    <w:rsid w:val="00AB6048"/>
    <w:rsid w:val="00AB7A37"/>
    <w:rsid w:val="00AC2F25"/>
    <w:rsid w:val="00AC3E61"/>
    <w:rsid w:val="00AC4090"/>
    <w:rsid w:val="00AC57E2"/>
    <w:rsid w:val="00AC65D8"/>
    <w:rsid w:val="00AC6C7F"/>
    <w:rsid w:val="00AD15A1"/>
    <w:rsid w:val="00AD1CEF"/>
    <w:rsid w:val="00AD2B54"/>
    <w:rsid w:val="00AD41C3"/>
    <w:rsid w:val="00AD614C"/>
    <w:rsid w:val="00AD7158"/>
    <w:rsid w:val="00AE064A"/>
    <w:rsid w:val="00AE0B9D"/>
    <w:rsid w:val="00AE1ADB"/>
    <w:rsid w:val="00AE1BB7"/>
    <w:rsid w:val="00AE1F35"/>
    <w:rsid w:val="00AE1FA9"/>
    <w:rsid w:val="00AE2542"/>
    <w:rsid w:val="00AE2DA1"/>
    <w:rsid w:val="00AE3D1F"/>
    <w:rsid w:val="00AE3D4A"/>
    <w:rsid w:val="00AE7487"/>
    <w:rsid w:val="00AF008F"/>
    <w:rsid w:val="00AF2D2C"/>
    <w:rsid w:val="00AF339D"/>
    <w:rsid w:val="00AF5EAB"/>
    <w:rsid w:val="00AF651A"/>
    <w:rsid w:val="00AF7BC2"/>
    <w:rsid w:val="00AF7D97"/>
    <w:rsid w:val="00B00A00"/>
    <w:rsid w:val="00B01571"/>
    <w:rsid w:val="00B045E9"/>
    <w:rsid w:val="00B06514"/>
    <w:rsid w:val="00B06FF6"/>
    <w:rsid w:val="00B116BD"/>
    <w:rsid w:val="00B147AD"/>
    <w:rsid w:val="00B219C3"/>
    <w:rsid w:val="00B30314"/>
    <w:rsid w:val="00B30833"/>
    <w:rsid w:val="00B30FDD"/>
    <w:rsid w:val="00B33398"/>
    <w:rsid w:val="00B41229"/>
    <w:rsid w:val="00B420C8"/>
    <w:rsid w:val="00B51D77"/>
    <w:rsid w:val="00B53478"/>
    <w:rsid w:val="00B54302"/>
    <w:rsid w:val="00B545AD"/>
    <w:rsid w:val="00B546D0"/>
    <w:rsid w:val="00B55196"/>
    <w:rsid w:val="00B55DBB"/>
    <w:rsid w:val="00B56B20"/>
    <w:rsid w:val="00B5712A"/>
    <w:rsid w:val="00B57865"/>
    <w:rsid w:val="00B63A6F"/>
    <w:rsid w:val="00B63BCD"/>
    <w:rsid w:val="00B656A8"/>
    <w:rsid w:val="00B753A8"/>
    <w:rsid w:val="00B756A0"/>
    <w:rsid w:val="00B75FD6"/>
    <w:rsid w:val="00B762E3"/>
    <w:rsid w:val="00B77724"/>
    <w:rsid w:val="00B80D46"/>
    <w:rsid w:val="00B81445"/>
    <w:rsid w:val="00B81FE0"/>
    <w:rsid w:val="00B8488C"/>
    <w:rsid w:val="00B85643"/>
    <w:rsid w:val="00B8751C"/>
    <w:rsid w:val="00B90918"/>
    <w:rsid w:val="00B9267F"/>
    <w:rsid w:val="00B9350E"/>
    <w:rsid w:val="00B9613D"/>
    <w:rsid w:val="00B96AA2"/>
    <w:rsid w:val="00BA4AE6"/>
    <w:rsid w:val="00BA4E61"/>
    <w:rsid w:val="00BB1B66"/>
    <w:rsid w:val="00BB2C9A"/>
    <w:rsid w:val="00BB3414"/>
    <w:rsid w:val="00BB5003"/>
    <w:rsid w:val="00BB66F7"/>
    <w:rsid w:val="00BC1569"/>
    <w:rsid w:val="00BC1573"/>
    <w:rsid w:val="00BC1918"/>
    <w:rsid w:val="00BC278F"/>
    <w:rsid w:val="00BC376B"/>
    <w:rsid w:val="00BC4346"/>
    <w:rsid w:val="00BC4651"/>
    <w:rsid w:val="00BC5834"/>
    <w:rsid w:val="00BC684E"/>
    <w:rsid w:val="00BC6C16"/>
    <w:rsid w:val="00BD1D1A"/>
    <w:rsid w:val="00BD60F7"/>
    <w:rsid w:val="00BD6145"/>
    <w:rsid w:val="00BD62B5"/>
    <w:rsid w:val="00BD73B8"/>
    <w:rsid w:val="00BD7C6E"/>
    <w:rsid w:val="00BD7D61"/>
    <w:rsid w:val="00BE1590"/>
    <w:rsid w:val="00BE209F"/>
    <w:rsid w:val="00BE23F9"/>
    <w:rsid w:val="00BE30F3"/>
    <w:rsid w:val="00BE69D8"/>
    <w:rsid w:val="00BF0064"/>
    <w:rsid w:val="00BF40C2"/>
    <w:rsid w:val="00BF49FE"/>
    <w:rsid w:val="00BF761C"/>
    <w:rsid w:val="00C006CC"/>
    <w:rsid w:val="00C01D86"/>
    <w:rsid w:val="00C022E2"/>
    <w:rsid w:val="00C03D03"/>
    <w:rsid w:val="00C0641C"/>
    <w:rsid w:val="00C079C0"/>
    <w:rsid w:val="00C10B2A"/>
    <w:rsid w:val="00C113D5"/>
    <w:rsid w:val="00C11CFD"/>
    <w:rsid w:val="00C127A5"/>
    <w:rsid w:val="00C139D7"/>
    <w:rsid w:val="00C15994"/>
    <w:rsid w:val="00C15B54"/>
    <w:rsid w:val="00C15CCD"/>
    <w:rsid w:val="00C2157E"/>
    <w:rsid w:val="00C23086"/>
    <w:rsid w:val="00C2451C"/>
    <w:rsid w:val="00C2550B"/>
    <w:rsid w:val="00C26D63"/>
    <w:rsid w:val="00C27D76"/>
    <w:rsid w:val="00C313CF"/>
    <w:rsid w:val="00C31B96"/>
    <w:rsid w:val="00C3434C"/>
    <w:rsid w:val="00C37BB5"/>
    <w:rsid w:val="00C4392E"/>
    <w:rsid w:val="00C43B4C"/>
    <w:rsid w:val="00C44851"/>
    <w:rsid w:val="00C45DF3"/>
    <w:rsid w:val="00C47CF4"/>
    <w:rsid w:val="00C50E39"/>
    <w:rsid w:val="00C52D57"/>
    <w:rsid w:val="00C539AE"/>
    <w:rsid w:val="00C60C20"/>
    <w:rsid w:val="00C628A6"/>
    <w:rsid w:val="00C62C72"/>
    <w:rsid w:val="00C64CA0"/>
    <w:rsid w:val="00C64D9B"/>
    <w:rsid w:val="00C67631"/>
    <w:rsid w:val="00C67B3B"/>
    <w:rsid w:val="00C67BC2"/>
    <w:rsid w:val="00C70FA9"/>
    <w:rsid w:val="00C71740"/>
    <w:rsid w:val="00C726BD"/>
    <w:rsid w:val="00C74FF7"/>
    <w:rsid w:val="00C75699"/>
    <w:rsid w:val="00C776F3"/>
    <w:rsid w:val="00C81BB4"/>
    <w:rsid w:val="00C823D2"/>
    <w:rsid w:val="00C82BB2"/>
    <w:rsid w:val="00C91B85"/>
    <w:rsid w:val="00C9339D"/>
    <w:rsid w:val="00C94587"/>
    <w:rsid w:val="00C97A6C"/>
    <w:rsid w:val="00C97F3A"/>
    <w:rsid w:val="00CA0B89"/>
    <w:rsid w:val="00CA1E25"/>
    <w:rsid w:val="00CA254A"/>
    <w:rsid w:val="00CA3477"/>
    <w:rsid w:val="00CA3FC5"/>
    <w:rsid w:val="00CA4A9C"/>
    <w:rsid w:val="00CA5750"/>
    <w:rsid w:val="00CA6AD8"/>
    <w:rsid w:val="00CB105A"/>
    <w:rsid w:val="00CB52D0"/>
    <w:rsid w:val="00CB533C"/>
    <w:rsid w:val="00CB6676"/>
    <w:rsid w:val="00CB7946"/>
    <w:rsid w:val="00CC032B"/>
    <w:rsid w:val="00CC1B34"/>
    <w:rsid w:val="00CC2C94"/>
    <w:rsid w:val="00CC7A88"/>
    <w:rsid w:val="00CD0B05"/>
    <w:rsid w:val="00CD0B4C"/>
    <w:rsid w:val="00CD10FF"/>
    <w:rsid w:val="00CD19E2"/>
    <w:rsid w:val="00CD4180"/>
    <w:rsid w:val="00CD6746"/>
    <w:rsid w:val="00CE1B17"/>
    <w:rsid w:val="00CE1BE4"/>
    <w:rsid w:val="00CE59E8"/>
    <w:rsid w:val="00CE7B0E"/>
    <w:rsid w:val="00CF1ACA"/>
    <w:rsid w:val="00CF55AE"/>
    <w:rsid w:val="00CF6A3B"/>
    <w:rsid w:val="00CF7FD5"/>
    <w:rsid w:val="00D01C91"/>
    <w:rsid w:val="00D04D3F"/>
    <w:rsid w:val="00D05A0A"/>
    <w:rsid w:val="00D06392"/>
    <w:rsid w:val="00D077DC"/>
    <w:rsid w:val="00D07D63"/>
    <w:rsid w:val="00D12492"/>
    <w:rsid w:val="00D13542"/>
    <w:rsid w:val="00D14391"/>
    <w:rsid w:val="00D15499"/>
    <w:rsid w:val="00D2070F"/>
    <w:rsid w:val="00D226EA"/>
    <w:rsid w:val="00D248B2"/>
    <w:rsid w:val="00D26ECF"/>
    <w:rsid w:val="00D3263F"/>
    <w:rsid w:val="00D3274E"/>
    <w:rsid w:val="00D33E9D"/>
    <w:rsid w:val="00D345A0"/>
    <w:rsid w:val="00D37451"/>
    <w:rsid w:val="00D42355"/>
    <w:rsid w:val="00D43F7B"/>
    <w:rsid w:val="00D46BE1"/>
    <w:rsid w:val="00D46E1F"/>
    <w:rsid w:val="00D501CA"/>
    <w:rsid w:val="00D51185"/>
    <w:rsid w:val="00D54483"/>
    <w:rsid w:val="00D5512F"/>
    <w:rsid w:val="00D64E74"/>
    <w:rsid w:val="00D6625D"/>
    <w:rsid w:val="00D66826"/>
    <w:rsid w:val="00D7108F"/>
    <w:rsid w:val="00D7181A"/>
    <w:rsid w:val="00D71E8D"/>
    <w:rsid w:val="00D73296"/>
    <w:rsid w:val="00D807CE"/>
    <w:rsid w:val="00D80CF9"/>
    <w:rsid w:val="00D8783A"/>
    <w:rsid w:val="00D87861"/>
    <w:rsid w:val="00D902F3"/>
    <w:rsid w:val="00D909D1"/>
    <w:rsid w:val="00D916A4"/>
    <w:rsid w:val="00D91DCB"/>
    <w:rsid w:val="00D95071"/>
    <w:rsid w:val="00D95613"/>
    <w:rsid w:val="00D963F8"/>
    <w:rsid w:val="00D970B0"/>
    <w:rsid w:val="00DA1381"/>
    <w:rsid w:val="00DA1B39"/>
    <w:rsid w:val="00DA377A"/>
    <w:rsid w:val="00DA3C9C"/>
    <w:rsid w:val="00DB30C3"/>
    <w:rsid w:val="00DB4033"/>
    <w:rsid w:val="00DB58C8"/>
    <w:rsid w:val="00DC31D4"/>
    <w:rsid w:val="00DC3B0F"/>
    <w:rsid w:val="00DC495E"/>
    <w:rsid w:val="00DC6979"/>
    <w:rsid w:val="00DC79DA"/>
    <w:rsid w:val="00DD24F3"/>
    <w:rsid w:val="00DD403E"/>
    <w:rsid w:val="00DD6ECF"/>
    <w:rsid w:val="00DD7AA6"/>
    <w:rsid w:val="00DE230A"/>
    <w:rsid w:val="00DF0311"/>
    <w:rsid w:val="00DF2BE6"/>
    <w:rsid w:val="00DF47D9"/>
    <w:rsid w:val="00DF4899"/>
    <w:rsid w:val="00DF4C30"/>
    <w:rsid w:val="00DF6BDD"/>
    <w:rsid w:val="00E0099C"/>
    <w:rsid w:val="00E031A0"/>
    <w:rsid w:val="00E03591"/>
    <w:rsid w:val="00E043AB"/>
    <w:rsid w:val="00E04448"/>
    <w:rsid w:val="00E05DA3"/>
    <w:rsid w:val="00E10E28"/>
    <w:rsid w:val="00E15DF3"/>
    <w:rsid w:val="00E1799B"/>
    <w:rsid w:val="00E22EB9"/>
    <w:rsid w:val="00E23290"/>
    <w:rsid w:val="00E23A3B"/>
    <w:rsid w:val="00E25688"/>
    <w:rsid w:val="00E25DB7"/>
    <w:rsid w:val="00E2631E"/>
    <w:rsid w:val="00E278C2"/>
    <w:rsid w:val="00E30BC6"/>
    <w:rsid w:val="00E31C5D"/>
    <w:rsid w:val="00E32CA4"/>
    <w:rsid w:val="00E340F8"/>
    <w:rsid w:val="00E34FD1"/>
    <w:rsid w:val="00E369BD"/>
    <w:rsid w:val="00E411FA"/>
    <w:rsid w:val="00E466BF"/>
    <w:rsid w:val="00E46DBC"/>
    <w:rsid w:val="00E54245"/>
    <w:rsid w:val="00E550EF"/>
    <w:rsid w:val="00E55C2E"/>
    <w:rsid w:val="00E56467"/>
    <w:rsid w:val="00E57FC5"/>
    <w:rsid w:val="00E63A82"/>
    <w:rsid w:val="00E65F4A"/>
    <w:rsid w:val="00E71EE6"/>
    <w:rsid w:val="00E73830"/>
    <w:rsid w:val="00E753DE"/>
    <w:rsid w:val="00E75AD7"/>
    <w:rsid w:val="00E7782F"/>
    <w:rsid w:val="00E80B4A"/>
    <w:rsid w:val="00E81E99"/>
    <w:rsid w:val="00E832C4"/>
    <w:rsid w:val="00E83E95"/>
    <w:rsid w:val="00E840DB"/>
    <w:rsid w:val="00E84D04"/>
    <w:rsid w:val="00E85962"/>
    <w:rsid w:val="00E85C25"/>
    <w:rsid w:val="00E907D2"/>
    <w:rsid w:val="00E91BE1"/>
    <w:rsid w:val="00E94522"/>
    <w:rsid w:val="00E957C1"/>
    <w:rsid w:val="00E96551"/>
    <w:rsid w:val="00E97ED3"/>
    <w:rsid w:val="00EA0C0C"/>
    <w:rsid w:val="00EA1882"/>
    <w:rsid w:val="00EA665F"/>
    <w:rsid w:val="00EA79CF"/>
    <w:rsid w:val="00EA7FE4"/>
    <w:rsid w:val="00EB0B02"/>
    <w:rsid w:val="00EB272F"/>
    <w:rsid w:val="00EB5D62"/>
    <w:rsid w:val="00EB5E48"/>
    <w:rsid w:val="00EC054E"/>
    <w:rsid w:val="00EC22C0"/>
    <w:rsid w:val="00EC39B0"/>
    <w:rsid w:val="00EC49F1"/>
    <w:rsid w:val="00EC4D81"/>
    <w:rsid w:val="00EC54BF"/>
    <w:rsid w:val="00EC5BE6"/>
    <w:rsid w:val="00EC5C03"/>
    <w:rsid w:val="00EC5FB2"/>
    <w:rsid w:val="00ED0458"/>
    <w:rsid w:val="00ED21F8"/>
    <w:rsid w:val="00ED5551"/>
    <w:rsid w:val="00ED6E3B"/>
    <w:rsid w:val="00ED7727"/>
    <w:rsid w:val="00EE0444"/>
    <w:rsid w:val="00EE06EB"/>
    <w:rsid w:val="00EE0872"/>
    <w:rsid w:val="00EE40A3"/>
    <w:rsid w:val="00EE4694"/>
    <w:rsid w:val="00EE5246"/>
    <w:rsid w:val="00EF1FAC"/>
    <w:rsid w:val="00EF2848"/>
    <w:rsid w:val="00EF3FDE"/>
    <w:rsid w:val="00EF6DE0"/>
    <w:rsid w:val="00F00714"/>
    <w:rsid w:val="00F02F32"/>
    <w:rsid w:val="00F0325C"/>
    <w:rsid w:val="00F04613"/>
    <w:rsid w:val="00F04797"/>
    <w:rsid w:val="00F10C93"/>
    <w:rsid w:val="00F10E73"/>
    <w:rsid w:val="00F10E8D"/>
    <w:rsid w:val="00F15276"/>
    <w:rsid w:val="00F16BA1"/>
    <w:rsid w:val="00F17625"/>
    <w:rsid w:val="00F1784C"/>
    <w:rsid w:val="00F214D9"/>
    <w:rsid w:val="00F22253"/>
    <w:rsid w:val="00F23300"/>
    <w:rsid w:val="00F2381F"/>
    <w:rsid w:val="00F23826"/>
    <w:rsid w:val="00F2643F"/>
    <w:rsid w:val="00F26BC6"/>
    <w:rsid w:val="00F270E8"/>
    <w:rsid w:val="00F27B44"/>
    <w:rsid w:val="00F30DFC"/>
    <w:rsid w:val="00F314FD"/>
    <w:rsid w:val="00F323B3"/>
    <w:rsid w:val="00F32AF1"/>
    <w:rsid w:val="00F35A9C"/>
    <w:rsid w:val="00F35C7B"/>
    <w:rsid w:val="00F3701C"/>
    <w:rsid w:val="00F44E5B"/>
    <w:rsid w:val="00F46035"/>
    <w:rsid w:val="00F51510"/>
    <w:rsid w:val="00F537DE"/>
    <w:rsid w:val="00F579D8"/>
    <w:rsid w:val="00F6151D"/>
    <w:rsid w:val="00F62E37"/>
    <w:rsid w:val="00F66613"/>
    <w:rsid w:val="00F7177C"/>
    <w:rsid w:val="00F7242D"/>
    <w:rsid w:val="00F8038A"/>
    <w:rsid w:val="00F83EA7"/>
    <w:rsid w:val="00F84675"/>
    <w:rsid w:val="00F85C8A"/>
    <w:rsid w:val="00F90259"/>
    <w:rsid w:val="00F91642"/>
    <w:rsid w:val="00F92F3E"/>
    <w:rsid w:val="00FA346B"/>
    <w:rsid w:val="00FB2E88"/>
    <w:rsid w:val="00FB467B"/>
    <w:rsid w:val="00FB7B4C"/>
    <w:rsid w:val="00FB7E1D"/>
    <w:rsid w:val="00FC09BB"/>
    <w:rsid w:val="00FC2009"/>
    <w:rsid w:val="00FC56D7"/>
    <w:rsid w:val="00FD0321"/>
    <w:rsid w:val="00FD2EFA"/>
    <w:rsid w:val="00FD3C8F"/>
    <w:rsid w:val="00FD5922"/>
    <w:rsid w:val="00FD6725"/>
    <w:rsid w:val="00FD6B1F"/>
    <w:rsid w:val="00FD70FE"/>
    <w:rsid w:val="00FD7B2D"/>
    <w:rsid w:val="00FD7B4B"/>
    <w:rsid w:val="00FE1399"/>
    <w:rsid w:val="00FE3E25"/>
    <w:rsid w:val="00FE3FE4"/>
    <w:rsid w:val="00FE47B7"/>
    <w:rsid w:val="00FE4B4D"/>
    <w:rsid w:val="00FE4C7D"/>
    <w:rsid w:val="00FE6391"/>
    <w:rsid w:val="00FE72CE"/>
    <w:rsid w:val="00FF02E6"/>
    <w:rsid w:val="00FF18BE"/>
    <w:rsid w:val="00FF2D36"/>
    <w:rsid w:val="00FF3209"/>
    <w:rsid w:val="00FF3643"/>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0A1D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29D"/>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A3329D"/>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A3329D"/>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850F1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634755"/>
    <w:pPr>
      <w:keepNext/>
      <w:spacing w:beforeLines="40" w:before="96" w:afterLines="40" w:after="96" w:line="240" w:lineRule="auto"/>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A3329D"/>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A3329D"/>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3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Paragraphe de liste1,ADB paragraph numbering,List Paragraph1,List Paragraph (numbered (a)),List Bullet Mary,References,Numbered List Paragraph,List Paragraph nowy,Liste 1,Indent Paragraph,Colorful List - Accent 11"/>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D345A0"/>
    <w:rPr>
      <w:rFonts w:eastAsia="Times New Roman" w:cs="Times New Roman"/>
      <w:b/>
      <w:lang w:val="fr-FR" w:eastAsia="en-US"/>
    </w:r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F214D9"/>
    <w:pPr>
      <w:tabs>
        <w:tab w:val="left" w:pos="0"/>
      </w:tabs>
      <w:spacing w:after="240" w:line="360" w:lineRule="auto"/>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aliases w:val="Bullets Char,Paragraphe de liste1 Char,ADB paragraph numbering Char,List Paragraph1 Char,List Paragraph (numbered (a)) Char,List Bullet Mary Char,References Char,Numbered List Paragraph Char,List Paragraph nowy Char,Liste 1 Char"/>
    <w:link w:val="ListParagraph"/>
    <w:uiPriority w:val="34"/>
    <w:qFormat/>
    <w:locked/>
    <w:rsid w:val="00B30314"/>
  </w:style>
  <w:style w:type="character" w:styleId="FollowedHyperlink">
    <w:name w:val="FollowedHyperlink"/>
    <w:basedOn w:val="DefaultParagraphFont"/>
    <w:uiPriority w:val="99"/>
    <w:semiHidden/>
    <w:unhideWhenUsed/>
    <w:rsid w:val="00D501CA"/>
    <w:rPr>
      <w:color w:val="800080" w:themeColor="followedHyperlink"/>
      <w:u w:val="single"/>
    </w:rPr>
  </w:style>
  <w:style w:type="character" w:customStyle="1" w:styleId="UnresolvedMention1">
    <w:name w:val="Unresolved Mention1"/>
    <w:basedOn w:val="DefaultParagraphFont"/>
    <w:uiPriority w:val="99"/>
    <w:semiHidden/>
    <w:unhideWhenUsed/>
    <w:rsid w:val="009B012E"/>
    <w:rPr>
      <w:color w:val="605E5C"/>
      <w:shd w:val="clear" w:color="auto" w:fill="E1DFDD"/>
    </w:rPr>
  </w:style>
  <w:style w:type="paragraph" w:customStyle="1" w:styleId="Body">
    <w:name w:val="Body"/>
    <w:rsid w:val="00C11CFD"/>
    <w:pPr>
      <w:pBdr>
        <w:top w:val="nil"/>
        <w:left w:val="nil"/>
        <w:bottom w:val="nil"/>
        <w:right w:val="nil"/>
        <w:between w:val="nil"/>
        <w:bar w:val="nil"/>
      </w:pBdr>
      <w:spacing w:after="240" w:line="360" w:lineRule="auto"/>
      <w:jc w:val="both"/>
    </w:pPr>
    <w:rPr>
      <w:rFonts w:ascii="Times New Roman" w:eastAsia="Arial Unicode MS" w:hAnsi="Times New Roman" w:cs="Arial Unicode MS"/>
      <w:color w:val="000000"/>
      <w:u w:color="000000"/>
      <w:bdr w:val="nil"/>
      <w:lang w:val="en-AU" w:eastAsia="en-AU"/>
    </w:rPr>
  </w:style>
  <w:style w:type="character" w:customStyle="1" w:styleId="None">
    <w:name w:val="None"/>
    <w:rsid w:val="00C11CFD"/>
  </w:style>
  <w:style w:type="character" w:customStyle="1" w:styleId="Heading8Char">
    <w:name w:val="Heading 8 Char"/>
    <w:basedOn w:val="DefaultParagraphFont"/>
    <w:link w:val="Heading8"/>
    <w:uiPriority w:val="9"/>
    <w:semiHidden/>
    <w:rsid w:val="00850F1B"/>
    <w:rPr>
      <w:rFonts w:asciiTheme="majorHAnsi" w:eastAsiaTheme="majorEastAsia" w:hAnsiTheme="majorHAnsi" w:cstheme="majorBidi"/>
      <w:color w:val="404040" w:themeColor="text1" w:themeTint="BF"/>
      <w:sz w:val="20"/>
      <w:szCs w:val="20"/>
    </w:rPr>
  </w:style>
  <w:style w:type="paragraph" w:styleId="BodyText2">
    <w:name w:val="Body Text 2"/>
    <w:basedOn w:val="Normal"/>
    <w:link w:val="BodyText2Char"/>
    <w:uiPriority w:val="99"/>
    <w:unhideWhenUsed/>
    <w:rsid w:val="008920CE"/>
    <w:pPr>
      <w:jc w:val="center"/>
    </w:pPr>
    <w:rPr>
      <w:rFonts w:cs="Times New Roman"/>
      <w:b/>
      <w:lang w:val="fr-FR"/>
    </w:rPr>
  </w:style>
  <w:style w:type="character" w:customStyle="1" w:styleId="BodyText2Char">
    <w:name w:val="Body Text 2 Char"/>
    <w:basedOn w:val="DefaultParagraphFont"/>
    <w:link w:val="BodyText2"/>
    <w:uiPriority w:val="99"/>
    <w:rsid w:val="008920CE"/>
    <w:rPr>
      <w:rFonts w:ascii="Times New Roman" w:hAnsi="Times New Roman" w:cs="Times New Roman"/>
      <w:b/>
      <w:lang w:val="fr-FR"/>
    </w:rPr>
  </w:style>
  <w:style w:type="character" w:customStyle="1" w:styleId="Heading9Char">
    <w:name w:val="Heading 9 Char"/>
    <w:basedOn w:val="DefaultParagraphFont"/>
    <w:link w:val="Heading9"/>
    <w:uiPriority w:val="9"/>
    <w:rsid w:val="00634755"/>
    <w:rPr>
      <w:rFonts w:ascii="Times New Roman"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29D"/>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A3329D"/>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A3329D"/>
    <w:pPr>
      <w:keepNext/>
      <w:keepLines/>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paragraph" w:styleId="Heading8">
    <w:name w:val="heading 8"/>
    <w:basedOn w:val="Normal"/>
    <w:next w:val="Normal"/>
    <w:link w:val="Heading8Char"/>
    <w:uiPriority w:val="9"/>
    <w:semiHidden/>
    <w:unhideWhenUsed/>
    <w:qFormat/>
    <w:rsid w:val="00850F1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634755"/>
    <w:pPr>
      <w:keepNext/>
      <w:spacing w:beforeLines="40" w:before="96" w:afterLines="40" w:after="96" w:line="240" w:lineRule="auto"/>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A3329D"/>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A3329D"/>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3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Paragraphe de liste1,ADB paragraph numbering,List Paragraph1,List Paragraph (numbered (a)),List Bullet Mary,References,Numbered List Paragraph,List Paragraph nowy,Liste 1,Indent Paragraph,Colorful List - Accent 11"/>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D345A0"/>
    <w:rPr>
      <w:rFonts w:eastAsia="Times New Roman" w:cs="Times New Roman"/>
      <w:b/>
      <w:lang w:val="fr-FR" w:eastAsia="en-US"/>
    </w:r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F214D9"/>
    <w:pPr>
      <w:tabs>
        <w:tab w:val="left" w:pos="0"/>
      </w:tabs>
      <w:spacing w:after="240" w:line="360" w:lineRule="auto"/>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aliases w:val="Bullets Char,Paragraphe de liste1 Char,ADB paragraph numbering Char,List Paragraph1 Char,List Paragraph (numbered (a)) Char,List Bullet Mary Char,References Char,Numbered List Paragraph Char,List Paragraph nowy Char,Liste 1 Char"/>
    <w:link w:val="ListParagraph"/>
    <w:uiPriority w:val="34"/>
    <w:qFormat/>
    <w:locked/>
    <w:rsid w:val="00B30314"/>
  </w:style>
  <w:style w:type="character" w:styleId="FollowedHyperlink">
    <w:name w:val="FollowedHyperlink"/>
    <w:basedOn w:val="DefaultParagraphFont"/>
    <w:uiPriority w:val="99"/>
    <w:semiHidden/>
    <w:unhideWhenUsed/>
    <w:rsid w:val="00D501CA"/>
    <w:rPr>
      <w:color w:val="800080" w:themeColor="followedHyperlink"/>
      <w:u w:val="single"/>
    </w:rPr>
  </w:style>
  <w:style w:type="character" w:customStyle="1" w:styleId="UnresolvedMention1">
    <w:name w:val="Unresolved Mention1"/>
    <w:basedOn w:val="DefaultParagraphFont"/>
    <w:uiPriority w:val="99"/>
    <w:semiHidden/>
    <w:unhideWhenUsed/>
    <w:rsid w:val="009B012E"/>
    <w:rPr>
      <w:color w:val="605E5C"/>
      <w:shd w:val="clear" w:color="auto" w:fill="E1DFDD"/>
    </w:rPr>
  </w:style>
  <w:style w:type="paragraph" w:customStyle="1" w:styleId="Body">
    <w:name w:val="Body"/>
    <w:rsid w:val="00C11CFD"/>
    <w:pPr>
      <w:pBdr>
        <w:top w:val="nil"/>
        <w:left w:val="nil"/>
        <w:bottom w:val="nil"/>
        <w:right w:val="nil"/>
        <w:between w:val="nil"/>
        <w:bar w:val="nil"/>
      </w:pBdr>
      <w:spacing w:after="240" w:line="360" w:lineRule="auto"/>
      <w:jc w:val="both"/>
    </w:pPr>
    <w:rPr>
      <w:rFonts w:ascii="Times New Roman" w:eastAsia="Arial Unicode MS" w:hAnsi="Times New Roman" w:cs="Arial Unicode MS"/>
      <w:color w:val="000000"/>
      <w:u w:color="000000"/>
      <w:bdr w:val="nil"/>
      <w:lang w:val="en-AU" w:eastAsia="en-AU"/>
    </w:rPr>
  </w:style>
  <w:style w:type="character" w:customStyle="1" w:styleId="None">
    <w:name w:val="None"/>
    <w:rsid w:val="00C11CFD"/>
  </w:style>
  <w:style w:type="character" w:customStyle="1" w:styleId="Heading8Char">
    <w:name w:val="Heading 8 Char"/>
    <w:basedOn w:val="DefaultParagraphFont"/>
    <w:link w:val="Heading8"/>
    <w:uiPriority w:val="9"/>
    <w:semiHidden/>
    <w:rsid w:val="00850F1B"/>
    <w:rPr>
      <w:rFonts w:asciiTheme="majorHAnsi" w:eastAsiaTheme="majorEastAsia" w:hAnsiTheme="majorHAnsi" w:cstheme="majorBidi"/>
      <w:color w:val="404040" w:themeColor="text1" w:themeTint="BF"/>
      <w:sz w:val="20"/>
      <w:szCs w:val="20"/>
    </w:rPr>
  </w:style>
  <w:style w:type="paragraph" w:styleId="BodyText2">
    <w:name w:val="Body Text 2"/>
    <w:basedOn w:val="Normal"/>
    <w:link w:val="BodyText2Char"/>
    <w:uiPriority w:val="99"/>
    <w:unhideWhenUsed/>
    <w:rsid w:val="008920CE"/>
    <w:pPr>
      <w:jc w:val="center"/>
    </w:pPr>
    <w:rPr>
      <w:rFonts w:cs="Times New Roman"/>
      <w:b/>
      <w:lang w:val="fr-FR"/>
    </w:rPr>
  </w:style>
  <w:style w:type="character" w:customStyle="1" w:styleId="BodyText2Char">
    <w:name w:val="Body Text 2 Char"/>
    <w:basedOn w:val="DefaultParagraphFont"/>
    <w:link w:val="BodyText2"/>
    <w:uiPriority w:val="99"/>
    <w:rsid w:val="008920CE"/>
    <w:rPr>
      <w:rFonts w:ascii="Times New Roman" w:hAnsi="Times New Roman" w:cs="Times New Roman"/>
      <w:b/>
      <w:lang w:val="fr-FR"/>
    </w:rPr>
  </w:style>
  <w:style w:type="character" w:customStyle="1" w:styleId="Heading9Char">
    <w:name w:val="Heading 9 Char"/>
    <w:basedOn w:val="DefaultParagraphFont"/>
    <w:link w:val="Heading9"/>
    <w:uiPriority w:val="9"/>
    <w:rsid w:val="0063475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4881039">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070541856">
      <w:bodyDiv w:val="1"/>
      <w:marLeft w:val="0"/>
      <w:marRight w:val="0"/>
      <w:marTop w:val="0"/>
      <w:marBottom w:val="0"/>
      <w:divBdr>
        <w:top w:val="none" w:sz="0" w:space="0" w:color="auto"/>
        <w:left w:val="none" w:sz="0" w:space="0" w:color="auto"/>
        <w:bottom w:val="none" w:sz="0" w:space="0" w:color="auto"/>
        <w:right w:val="none" w:sz="0" w:space="0" w:color="auto"/>
      </w:divBdr>
    </w:div>
    <w:div w:id="1276790603">
      <w:bodyDiv w:val="1"/>
      <w:marLeft w:val="0"/>
      <w:marRight w:val="0"/>
      <w:marTop w:val="0"/>
      <w:marBottom w:val="0"/>
      <w:divBdr>
        <w:top w:val="none" w:sz="0" w:space="0" w:color="auto"/>
        <w:left w:val="none" w:sz="0" w:space="0" w:color="auto"/>
        <w:bottom w:val="none" w:sz="0" w:space="0" w:color="auto"/>
        <w:right w:val="none" w:sz="0" w:space="0" w:color="auto"/>
      </w:divBdr>
    </w:div>
    <w:div w:id="165098512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orumsec.org/wp-content/uploads/2019/02/Pacific-NCD-Roadmap.pdf" TargetMode="External"/><Relationship Id="rId4" Type="http://schemas.microsoft.com/office/2007/relationships/stylesWithEffects" Target="stylesWithEffects.xml"/><Relationship Id="rId9" Type="http://schemas.openxmlformats.org/officeDocument/2006/relationships/hyperlink" Target="https://www.who.int/ncds/management/best-buys/e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ho.int/dietphysicalactivity/publications/fiscal-policies-diet-prevention/en/"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2BE0C19E-78E2-46BF-9A2F-6C8AAAE84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10</Pages>
  <Words>3028</Words>
  <Characters>17261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43</cp:revision>
  <cp:lastPrinted>2019-07-28T03:01:00Z</cp:lastPrinted>
  <dcterms:created xsi:type="dcterms:W3CDTF">2019-06-09T12:31:00Z</dcterms:created>
  <dcterms:modified xsi:type="dcterms:W3CDTF">2019-07-28T03:58:00Z</dcterms:modified>
</cp:coreProperties>
</file>